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9F7" w:rsidRDefault="000D6ACB">
      <w:r>
        <w:t>ANNEXE 2 : INDICATEU</w:t>
      </w:r>
      <w:bookmarkStart w:id="0" w:name="_GoBack"/>
      <w:bookmarkEnd w:id="0"/>
      <w:r>
        <w:t>RS DE PREVENTION DU FORFAIT MEDECIN TRAITANT</w:t>
      </w:r>
    </w:p>
    <w:tbl>
      <w:tblPr>
        <w:tblStyle w:val="TableauGrille2-Accentuation41"/>
        <w:tblW w:w="10201" w:type="dxa"/>
        <w:tblLook w:val="04A0" w:firstRow="1" w:lastRow="0" w:firstColumn="1" w:lastColumn="0" w:noHBand="0" w:noVBand="1"/>
      </w:tblPr>
      <w:tblGrid>
        <w:gridCol w:w="1300"/>
        <w:gridCol w:w="2539"/>
        <w:gridCol w:w="6362"/>
      </w:tblGrid>
      <w:tr w:rsidR="000D6ACB" w:rsidRPr="000D6ACB" w:rsidTr="000D6A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87" w:type="dxa"/>
            <w:shd w:val="clear" w:color="auto" w:fill="007FAD"/>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center"/>
              <w:rPr>
                <w:rFonts w:ascii="Calibri" w:eastAsia="Arial" w:hAnsi="Calibri"/>
                <w:color w:val="FFFFFF"/>
              </w:rPr>
            </w:pPr>
            <w:r w:rsidRPr="000D6ACB">
              <w:rPr>
                <w:rFonts w:ascii="Calibri" w:eastAsia="Arial" w:hAnsi="Calibri"/>
                <w:color w:val="FFFFFF"/>
              </w:rPr>
              <w:t>Thème</w:t>
            </w:r>
          </w:p>
        </w:tc>
        <w:tc>
          <w:tcPr>
            <w:tcW w:w="2541" w:type="dxa"/>
            <w:shd w:val="clear" w:color="auto" w:fill="007FAD"/>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center"/>
              <w:cnfStyle w:val="100000000000" w:firstRow="1" w:lastRow="0" w:firstColumn="0" w:lastColumn="0" w:oddVBand="0" w:evenVBand="0" w:oddHBand="0" w:evenHBand="0" w:firstRowFirstColumn="0" w:firstRowLastColumn="0" w:lastRowFirstColumn="0" w:lastRowLastColumn="0"/>
              <w:rPr>
                <w:rFonts w:ascii="Calibri" w:eastAsia="Arial" w:hAnsi="Calibri"/>
                <w:color w:val="FFFFFF"/>
              </w:rPr>
            </w:pPr>
            <w:r w:rsidRPr="000D6ACB">
              <w:rPr>
                <w:rFonts w:ascii="Calibri" w:eastAsia="Arial" w:hAnsi="Calibri"/>
                <w:color w:val="FFFFFF"/>
              </w:rPr>
              <w:t>Indicateurs</w:t>
            </w:r>
          </w:p>
        </w:tc>
        <w:tc>
          <w:tcPr>
            <w:tcW w:w="6373" w:type="dxa"/>
            <w:shd w:val="clear" w:color="auto" w:fill="007FAD"/>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center"/>
              <w:cnfStyle w:val="100000000000" w:firstRow="1" w:lastRow="0" w:firstColumn="0" w:lastColumn="0" w:oddVBand="0" w:evenVBand="0" w:oddHBand="0" w:evenHBand="0" w:firstRowFirstColumn="0" w:firstRowLastColumn="0" w:lastRowFirstColumn="0" w:lastRowLastColumn="0"/>
              <w:rPr>
                <w:rFonts w:ascii="Calibri" w:eastAsia="Arial" w:hAnsi="Calibri"/>
                <w:color w:val="FFFFFF"/>
              </w:rPr>
            </w:pPr>
            <w:r w:rsidRPr="000D6ACB">
              <w:rPr>
                <w:rFonts w:ascii="Calibri" w:eastAsia="Arial" w:hAnsi="Calibri"/>
                <w:color w:val="FFFFFF"/>
              </w:rPr>
              <w:t>Description</w:t>
            </w:r>
          </w:p>
        </w:tc>
      </w:tr>
      <w:tr w:rsidR="000D6ACB" w:rsidRPr="000D6ACB" w:rsidTr="000D6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7" w:type="dxa"/>
            <w:vMerge w:val="restart"/>
            <w:vAlign w:val="center"/>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rPr>
                <w:rFonts w:ascii="Calibri" w:eastAsia="Arial" w:hAnsi="Calibri"/>
                <w:color w:val="000000"/>
              </w:rPr>
            </w:pPr>
            <w:r w:rsidRPr="000D6ACB">
              <w:rPr>
                <w:rFonts w:ascii="Calibri" w:eastAsia="Arial" w:hAnsi="Calibri"/>
                <w:color w:val="000000"/>
              </w:rPr>
              <w:t>Vaccination</w:t>
            </w:r>
          </w:p>
        </w:tc>
        <w:tc>
          <w:tcPr>
            <w:tcW w:w="2541"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100000" w:firstRow="0" w:lastRow="0" w:firstColumn="0" w:lastColumn="0" w:oddVBand="0" w:evenVBand="0" w:oddHBand="1"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Vaccination contre la grippe</w:t>
            </w:r>
          </w:p>
        </w:tc>
        <w:tc>
          <w:tcPr>
            <w:tcW w:w="6373"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100000" w:firstRow="0" w:lastRow="0" w:firstColumn="0" w:lastColumn="0" w:oddVBand="0" w:evenVBand="0" w:oddHBand="1"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Parmi les personnes de 65 ans et plus ou celles de 6 mois et plus à risque de grippe sévère, l'indicateur est validé pour celles ayant reçu au moins une dose de vaccin antigrippal lors de la campagne de vaccination en cours. Les campagnes de l'hémisphère Nord et de l'hémisphère Sud sont concaténées pour couvrir une période de 1 an, allant du 1</w:t>
            </w:r>
            <w:r w:rsidRPr="000D6ACB">
              <w:rPr>
                <w:rFonts w:ascii="Calibri" w:eastAsia="Arial" w:hAnsi="Calibri"/>
                <w:color w:val="000000"/>
                <w:vertAlign w:val="superscript"/>
              </w:rPr>
              <w:t>er</w:t>
            </w:r>
            <w:r w:rsidRPr="000D6ACB">
              <w:rPr>
                <w:rFonts w:ascii="Calibri" w:eastAsia="Arial" w:hAnsi="Calibri"/>
                <w:color w:val="000000"/>
              </w:rPr>
              <w:t xml:space="preserve"> avril au 31 mars de l'année suivante.</w:t>
            </w:r>
          </w:p>
        </w:tc>
      </w:tr>
      <w:tr w:rsidR="000D6ACB" w:rsidRPr="000D6ACB" w:rsidTr="00AD4C92">
        <w:tc>
          <w:tcPr>
            <w:cnfStyle w:val="001000000000" w:firstRow="0" w:lastRow="0" w:firstColumn="1" w:lastColumn="0" w:oddVBand="0" w:evenVBand="0" w:oddHBand="0" w:evenHBand="0" w:firstRowFirstColumn="0" w:firstRowLastColumn="0" w:lastRowFirstColumn="0" w:lastRowLastColumn="0"/>
            <w:tcW w:w="1287" w:type="dxa"/>
            <w:vMerge/>
            <w:vAlign w:val="center"/>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rPr>
                <w:rFonts w:ascii="Calibri" w:eastAsia="Arial" w:hAnsi="Calibri"/>
                <w:color w:val="000000"/>
              </w:rPr>
            </w:pPr>
          </w:p>
        </w:tc>
        <w:tc>
          <w:tcPr>
            <w:tcW w:w="2541"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000000" w:firstRow="0" w:lastRow="0" w:firstColumn="0" w:lastColumn="0" w:oddVBand="0" w:evenVBand="0" w:oddHBand="0"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 xml:space="preserve">Vaccination contre le </w:t>
            </w:r>
            <w:proofErr w:type="spellStart"/>
            <w:r w:rsidRPr="000D6ACB">
              <w:rPr>
                <w:rFonts w:ascii="Calibri" w:eastAsia="Arial" w:hAnsi="Calibri"/>
                <w:color w:val="000000"/>
              </w:rPr>
              <w:t>covid</w:t>
            </w:r>
            <w:proofErr w:type="spellEnd"/>
          </w:p>
        </w:tc>
        <w:tc>
          <w:tcPr>
            <w:tcW w:w="6373"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000000" w:firstRow="0" w:lastRow="0" w:firstColumn="0" w:lastColumn="0" w:oddVBand="0" w:evenVBand="0" w:oddHBand="0"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 xml:space="preserve">Parmi les personnes de 65 ans et plus ou celles de 6 mois et plus et à risque de </w:t>
            </w:r>
            <w:proofErr w:type="spellStart"/>
            <w:r w:rsidRPr="000D6ACB">
              <w:rPr>
                <w:rFonts w:ascii="Calibri" w:eastAsia="Arial" w:hAnsi="Calibri"/>
                <w:color w:val="000000"/>
              </w:rPr>
              <w:t>covid</w:t>
            </w:r>
            <w:proofErr w:type="spellEnd"/>
            <w:r w:rsidRPr="000D6ACB">
              <w:rPr>
                <w:rFonts w:ascii="Calibri" w:eastAsia="Arial" w:hAnsi="Calibri"/>
                <w:color w:val="000000"/>
              </w:rPr>
              <w:t xml:space="preserve"> sévère, l'indicateur est validé pour celles ayant reçu au moins une dose de vaccin contre le </w:t>
            </w:r>
            <w:proofErr w:type="spellStart"/>
            <w:r w:rsidRPr="000D6ACB">
              <w:rPr>
                <w:rFonts w:ascii="Calibri" w:eastAsia="Arial" w:hAnsi="Calibri"/>
                <w:color w:val="000000"/>
              </w:rPr>
              <w:t>covid</w:t>
            </w:r>
            <w:proofErr w:type="spellEnd"/>
            <w:r w:rsidRPr="000D6ACB">
              <w:rPr>
                <w:rFonts w:ascii="Calibri" w:eastAsia="Arial" w:hAnsi="Calibri"/>
                <w:color w:val="000000"/>
              </w:rPr>
              <w:t xml:space="preserve"> lors de la campagne de vaccination en cours. Les campagnes de l'hémisphère Nord et de l'hémisphère Sud sont concaténées pour couvrir une période de 1 an, allant du 1</w:t>
            </w:r>
            <w:r w:rsidRPr="000D6ACB">
              <w:rPr>
                <w:rFonts w:ascii="Calibri" w:eastAsia="Arial" w:hAnsi="Calibri"/>
                <w:color w:val="000000"/>
                <w:vertAlign w:val="superscript"/>
              </w:rPr>
              <w:t>er</w:t>
            </w:r>
            <w:r w:rsidRPr="000D6ACB">
              <w:rPr>
                <w:rFonts w:ascii="Calibri" w:eastAsia="Arial" w:hAnsi="Calibri"/>
                <w:color w:val="000000"/>
              </w:rPr>
              <w:t xml:space="preserve"> avril au 31 mars de l'année suivante.</w:t>
            </w:r>
          </w:p>
        </w:tc>
      </w:tr>
      <w:tr w:rsidR="000D6ACB" w:rsidRPr="000D6ACB" w:rsidTr="000D6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7" w:type="dxa"/>
            <w:vMerge/>
            <w:vAlign w:val="center"/>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rPr>
                <w:rFonts w:ascii="Calibri" w:eastAsia="Arial" w:hAnsi="Calibri"/>
                <w:color w:val="000000"/>
              </w:rPr>
            </w:pPr>
          </w:p>
        </w:tc>
        <w:tc>
          <w:tcPr>
            <w:tcW w:w="2541"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100000" w:firstRow="0" w:lastRow="0" w:firstColumn="0" w:lastColumn="0" w:oddVBand="0" w:evenVBand="0" w:oddHBand="1"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Vaccination contre le pneumocoque</w:t>
            </w:r>
          </w:p>
        </w:tc>
        <w:tc>
          <w:tcPr>
            <w:tcW w:w="6373"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100000" w:firstRow="0" w:lastRow="0" w:firstColumn="0" w:lastColumn="0" w:oddVBand="0" w:evenVBand="0" w:oddHBand="1"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Parmi les personnes de 18 ans et plus à risque d'infection sévère à pneumocoque, l'indicateur est validé pour celles ayant reçu au moins une dose de vaccin conjugué 20-valent contre le pneumocoque (VPC20) depuis son inscription au remboursement (07/03/2024).</w:t>
            </w:r>
          </w:p>
        </w:tc>
      </w:tr>
      <w:tr w:rsidR="000D6ACB" w:rsidRPr="000D6ACB" w:rsidTr="00AD4C92">
        <w:tc>
          <w:tcPr>
            <w:cnfStyle w:val="001000000000" w:firstRow="0" w:lastRow="0" w:firstColumn="1" w:lastColumn="0" w:oddVBand="0" w:evenVBand="0" w:oddHBand="0" w:evenHBand="0" w:firstRowFirstColumn="0" w:firstRowLastColumn="0" w:lastRowFirstColumn="0" w:lastRowLastColumn="0"/>
            <w:tcW w:w="1287" w:type="dxa"/>
            <w:vMerge/>
            <w:vAlign w:val="center"/>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rPr>
                <w:rFonts w:ascii="Calibri" w:eastAsia="Arial" w:hAnsi="Calibri"/>
                <w:color w:val="000000"/>
              </w:rPr>
            </w:pPr>
          </w:p>
        </w:tc>
        <w:tc>
          <w:tcPr>
            <w:tcW w:w="2541"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000000" w:firstRow="0" w:lastRow="0" w:firstColumn="0" w:lastColumn="0" w:oddVBand="0" w:evenVBand="0" w:oddHBand="0"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Vaccination ROR</w:t>
            </w:r>
          </w:p>
        </w:tc>
        <w:tc>
          <w:tcPr>
            <w:tcW w:w="6373"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000000" w:firstRow="0" w:lastRow="0" w:firstColumn="0" w:lastColumn="0" w:oddVBand="0" w:evenVBand="0" w:oddHBand="0"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Parmi les enfants de 16 à 35 mois inclus (&lt; 36 mois), l'indicateur est validé pour ceux ayant reçu ( au moins deux doses de vaccin ROR entre la naissance et le 24ème mois inclus.</w:t>
            </w:r>
          </w:p>
        </w:tc>
      </w:tr>
      <w:tr w:rsidR="000D6ACB" w:rsidRPr="000D6ACB" w:rsidTr="000D6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7" w:type="dxa"/>
            <w:vMerge/>
            <w:vAlign w:val="center"/>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rPr>
                <w:rFonts w:ascii="Calibri" w:eastAsia="Arial" w:hAnsi="Calibri"/>
                <w:color w:val="000000"/>
              </w:rPr>
            </w:pPr>
          </w:p>
        </w:tc>
        <w:tc>
          <w:tcPr>
            <w:tcW w:w="2541"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100000" w:firstRow="0" w:lastRow="0" w:firstColumn="0" w:lastColumn="0" w:oddVBand="0" w:evenVBand="0" w:oddHBand="1"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Vaccination contre le méningocoque C</w:t>
            </w:r>
          </w:p>
        </w:tc>
        <w:tc>
          <w:tcPr>
            <w:tcW w:w="6373"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100000" w:firstRow="0" w:lastRow="0" w:firstColumn="0" w:lastColumn="0" w:oddVBand="0" w:evenVBand="0" w:oddHBand="1"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Parmi les enfants de 5 à 23 mois inclus (&lt; 24 mois), l'indicateur est validé pour ceux ayant reçu au moins une dose de vaccin contre le méningocoque C entre la naissance  et 12</w:t>
            </w:r>
            <w:r w:rsidRPr="000D6ACB">
              <w:rPr>
                <w:rFonts w:ascii="Calibri" w:eastAsia="Arial" w:hAnsi="Calibri"/>
                <w:color w:val="000000"/>
                <w:vertAlign w:val="superscript"/>
              </w:rPr>
              <w:t>ème</w:t>
            </w:r>
            <w:r w:rsidRPr="000D6ACB">
              <w:rPr>
                <w:rFonts w:ascii="Calibri" w:eastAsia="Arial" w:hAnsi="Calibri"/>
                <w:color w:val="000000"/>
              </w:rPr>
              <w:t xml:space="preserve"> mois inclus.</w:t>
            </w:r>
          </w:p>
        </w:tc>
      </w:tr>
      <w:tr w:rsidR="000D6ACB" w:rsidRPr="000D6ACB" w:rsidTr="00AD4C92">
        <w:tc>
          <w:tcPr>
            <w:cnfStyle w:val="001000000000" w:firstRow="0" w:lastRow="0" w:firstColumn="1" w:lastColumn="0" w:oddVBand="0" w:evenVBand="0" w:oddHBand="0" w:evenHBand="0" w:firstRowFirstColumn="0" w:firstRowLastColumn="0" w:lastRowFirstColumn="0" w:lastRowLastColumn="0"/>
            <w:tcW w:w="1287" w:type="dxa"/>
            <w:vMerge/>
            <w:vAlign w:val="center"/>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rPr>
                <w:rFonts w:ascii="Calibri" w:eastAsia="Arial" w:hAnsi="Calibri"/>
                <w:color w:val="000000"/>
              </w:rPr>
            </w:pPr>
          </w:p>
        </w:tc>
        <w:tc>
          <w:tcPr>
            <w:tcW w:w="2541"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000000" w:firstRow="0" w:lastRow="0" w:firstColumn="0" w:lastColumn="0" w:oddVBand="0" w:evenVBand="0" w:oddHBand="0"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Vaccination contre le papillomavirus HPV</w:t>
            </w:r>
          </w:p>
        </w:tc>
        <w:tc>
          <w:tcPr>
            <w:tcW w:w="6373"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000000" w:firstRow="0" w:lastRow="0" w:firstColumn="0" w:lastColumn="0" w:oddVBand="0" w:evenVBand="0" w:oddHBand="0"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Parmi les enfants de 11 à 15 ans inclus (&lt; 16 ans, l'indicateur est validé pour celles ayant reçu  au moins deux doses de vaccin HPV entre 10 et 14 ans inclus (avant 15 ans).</w:t>
            </w:r>
          </w:p>
        </w:tc>
      </w:tr>
      <w:tr w:rsidR="000D6ACB" w:rsidRPr="000D6ACB" w:rsidTr="000D6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7" w:type="dxa"/>
            <w:vMerge w:val="restart"/>
            <w:vAlign w:val="center"/>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rPr>
                <w:rFonts w:ascii="Calibri" w:eastAsia="Arial" w:hAnsi="Calibri"/>
                <w:color w:val="000000"/>
              </w:rPr>
            </w:pPr>
            <w:r w:rsidRPr="000D6ACB">
              <w:rPr>
                <w:rFonts w:ascii="Calibri" w:eastAsia="Arial" w:hAnsi="Calibri"/>
                <w:color w:val="000000"/>
              </w:rPr>
              <w:t>Dépistage</w:t>
            </w:r>
          </w:p>
        </w:tc>
        <w:tc>
          <w:tcPr>
            <w:tcW w:w="2541"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100000" w:firstRow="0" w:lastRow="0" w:firstColumn="0" w:lastColumn="0" w:oddVBand="0" w:evenVBand="0" w:oddHBand="1"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Dépistage organisé du cancer du sein</w:t>
            </w:r>
          </w:p>
        </w:tc>
        <w:tc>
          <w:tcPr>
            <w:tcW w:w="6373"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100000" w:firstRow="0" w:lastRow="0" w:firstColumn="0" w:lastColumn="0" w:oddVBand="0" w:evenVBand="0" w:oddHBand="1"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Parmi les femmes de 50 à 74 ans inclus (&lt; 75 ans) à risque moyen de développer un cancer du sein, l'indicateur est validé pour celles ayant bénéficié d'un dépistage du cancer du sein par mammographie de dépistage depuis 2 ans ou moins, ou par mammographie bilatérale classique depuis 1 an ou moins.</w:t>
            </w:r>
            <w:r w:rsidRPr="000D6ACB">
              <w:rPr>
                <w:rFonts w:ascii="Calibri" w:eastAsia="Arial" w:hAnsi="Calibri"/>
                <w:i/>
                <w:iCs/>
                <w:color w:val="000000"/>
              </w:rPr>
              <w:t xml:space="preserve"> </w:t>
            </w:r>
          </w:p>
        </w:tc>
      </w:tr>
      <w:tr w:rsidR="000D6ACB" w:rsidRPr="000D6ACB" w:rsidTr="00AD4C92">
        <w:tc>
          <w:tcPr>
            <w:cnfStyle w:val="001000000000" w:firstRow="0" w:lastRow="0" w:firstColumn="1" w:lastColumn="0" w:oddVBand="0" w:evenVBand="0" w:oddHBand="0" w:evenHBand="0" w:firstRowFirstColumn="0" w:firstRowLastColumn="0" w:lastRowFirstColumn="0" w:lastRowLastColumn="0"/>
            <w:tcW w:w="1287" w:type="dxa"/>
            <w:vMerge/>
            <w:vAlign w:val="center"/>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rPr>
                <w:rFonts w:ascii="Calibri" w:eastAsia="Arial" w:hAnsi="Calibri"/>
                <w:color w:val="000000"/>
              </w:rPr>
            </w:pPr>
          </w:p>
        </w:tc>
        <w:tc>
          <w:tcPr>
            <w:tcW w:w="2541"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000000" w:firstRow="0" w:lastRow="0" w:firstColumn="0" w:lastColumn="0" w:oddVBand="0" w:evenVBand="0" w:oddHBand="0"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Dépistage organisé du cancer du col de l'utérus</w:t>
            </w:r>
          </w:p>
        </w:tc>
        <w:tc>
          <w:tcPr>
            <w:tcW w:w="6373"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000000" w:firstRow="0" w:lastRow="0" w:firstColumn="0" w:lastColumn="0" w:oddVBand="0" w:evenVBand="0" w:oddHBand="0"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 xml:space="preserve">Parmi les femmes de 25 à 65 ans inclus (&lt; 66 ans) à risque de développer un cancer du col de l'utérus, l'indicateur est validé pour celles ayant bénéficié d'un dépistage du cancer du col de l'utérus : </w:t>
            </w:r>
          </w:p>
          <w:p w:rsidR="000D6ACB" w:rsidRPr="000D6ACB" w:rsidRDefault="000D6ACB" w:rsidP="000D6ACB">
            <w:pPr>
              <w:numPr>
                <w:ilvl w:val="0"/>
                <w:numId w:val="1"/>
              </w:numPr>
              <w:pBdr>
                <w:top w:val="none" w:sz="4" w:space="0" w:color="000000"/>
                <w:left w:val="none" w:sz="4" w:space="0" w:color="000000"/>
                <w:bottom w:val="none" w:sz="4" w:space="0" w:color="000000"/>
                <w:right w:val="none" w:sz="4" w:space="0" w:color="000000"/>
              </w:pBdr>
              <w:spacing w:before="200"/>
              <w:ind w:right="111"/>
              <w:jc w:val="both"/>
              <w:cnfStyle w:val="000000000000" w:firstRow="0" w:lastRow="0" w:firstColumn="0" w:lastColumn="0" w:oddVBand="0" w:evenVBand="0" w:oddHBand="0" w:evenHBand="0" w:firstRowFirstColumn="0" w:firstRowLastColumn="0" w:lastRowFirstColumn="0" w:lastRowLastColumn="0"/>
              <w:rPr>
                <w:rFonts w:ascii="Calibri" w:eastAsia="Arial" w:hAnsi="Calibri"/>
                <w:color w:val="000000"/>
              </w:rPr>
            </w:pPr>
            <w:r w:rsidRPr="000D6ACB">
              <w:rPr>
                <w:rFonts w:ascii="Calibri" w:eastAsia="Arial" w:hAnsi="Calibri"/>
                <w:color w:val="000000"/>
                <w:u w:val="single"/>
              </w:rPr>
              <w:t>De 25 à 29 ans</w:t>
            </w:r>
            <w:r w:rsidRPr="000D6ACB">
              <w:rPr>
                <w:rFonts w:ascii="Calibri" w:eastAsia="Arial" w:hAnsi="Calibri"/>
                <w:color w:val="000000"/>
              </w:rPr>
              <w:t xml:space="preserve"> : par analyse cytologique des cellules du col sur prélèvement cervico-utérin (deux analyses cytologiques* dont la dernière date de 3 ans ou moins, ou une analyse cytologique* depuis 1 an ou moins).</w:t>
            </w:r>
          </w:p>
          <w:p w:rsidR="000D6ACB" w:rsidRPr="000D6ACB" w:rsidRDefault="000D6ACB" w:rsidP="000D6ACB">
            <w:pPr>
              <w:numPr>
                <w:ilvl w:val="0"/>
                <w:numId w:val="1"/>
              </w:numPr>
              <w:pBdr>
                <w:top w:val="none" w:sz="4" w:space="0" w:color="000000"/>
                <w:left w:val="none" w:sz="4" w:space="0" w:color="000000"/>
                <w:bottom w:val="none" w:sz="4" w:space="0" w:color="000000"/>
                <w:right w:val="none" w:sz="4" w:space="0" w:color="000000"/>
              </w:pBdr>
              <w:spacing w:before="200"/>
              <w:ind w:right="111"/>
              <w:jc w:val="both"/>
              <w:cnfStyle w:val="000000000000" w:firstRow="0" w:lastRow="0" w:firstColumn="0" w:lastColumn="0" w:oddVBand="0" w:evenVBand="0" w:oddHBand="0" w:evenHBand="0" w:firstRowFirstColumn="0" w:firstRowLastColumn="0" w:lastRowFirstColumn="0" w:lastRowLastColumn="0"/>
              <w:rPr>
                <w:rFonts w:ascii="Calibri" w:eastAsia="Arial" w:hAnsi="Calibri"/>
                <w:color w:val="000000"/>
              </w:rPr>
            </w:pPr>
            <w:r w:rsidRPr="000D6ACB">
              <w:rPr>
                <w:rFonts w:ascii="Calibri" w:eastAsia="Arial" w:hAnsi="Calibri"/>
                <w:color w:val="000000"/>
                <w:u w:val="single"/>
              </w:rPr>
              <w:t>De 30 à 65 ans</w:t>
            </w:r>
            <w:r w:rsidRPr="000D6ACB">
              <w:rPr>
                <w:rFonts w:ascii="Calibri" w:eastAsia="Arial" w:hAnsi="Calibri"/>
                <w:color w:val="000000"/>
              </w:rPr>
              <w:t xml:space="preserve"> : par test HPV-HR sur prélèvement cervico-utérin (un test HPV-HR** depuis 5 ans ou moins, ou deux analyses cytologiques* dont la dernière date de 3 ans ou moins, ou une analyse cytologique* depuis 1 an ou moins).</w:t>
            </w:r>
          </w:p>
        </w:tc>
      </w:tr>
      <w:tr w:rsidR="000D6ACB" w:rsidRPr="000D6ACB" w:rsidTr="000D6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7" w:type="dxa"/>
            <w:vMerge/>
            <w:vAlign w:val="center"/>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rPr>
                <w:rFonts w:ascii="Calibri" w:eastAsia="Arial" w:hAnsi="Calibri"/>
                <w:color w:val="000000"/>
              </w:rPr>
            </w:pPr>
          </w:p>
        </w:tc>
        <w:tc>
          <w:tcPr>
            <w:tcW w:w="2541"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100000" w:firstRow="0" w:lastRow="0" w:firstColumn="0" w:lastColumn="0" w:oddVBand="0" w:evenVBand="0" w:oddHBand="1"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Dépistage du cancer colorectal</w:t>
            </w:r>
          </w:p>
        </w:tc>
        <w:tc>
          <w:tcPr>
            <w:tcW w:w="6373"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100000" w:firstRow="0" w:lastRow="0" w:firstColumn="0" w:lastColumn="0" w:oddVBand="0" w:evenVBand="0" w:oddHBand="1"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 xml:space="preserve">Parmi les personnes de 50 à 74 ans inclus (&lt; 75 ans) et à risque de développer un cancer colorectal, l'indicateur est validé pour celles ayant </w:t>
            </w:r>
            <w:r w:rsidRPr="000D6ACB">
              <w:rPr>
                <w:rFonts w:ascii="Calibri" w:eastAsia="Arial" w:hAnsi="Calibri"/>
                <w:color w:val="000000"/>
              </w:rPr>
              <w:lastRenderedPageBreak/>
              <w:t>bénéficié d'un dépistage du cancer colorectal par test immunologique depuis 2 ans ou moins.</w:t>
            </w:r>
          </w:p>
        </w:tc>
      </w:tr>
      <w:tr w:rsidR="000D6ACB" w:rsidRPr="000D6ACB" w:rsidTr="00AD4C92">
        <w:tc>
          <w:tcPr>
            <w:cnfStyle w:val="001000000000" w:firstRow="0" w:lastRow="0" w:firstColumn="1" w:lastColumn="0" w:oddVBand="0" w:evenVBand="0" w:oddHBand="0" w:evenHBand="0" w:firstRowFirstColumn="0" w:firstRowLastColumn="0" w:lastRowFirstColumn="0" w:lastRowLastColumn="0"/>
            <w:tcW w:w="1287" w:type="dxa"/>
            <w:vMerge/>
            <w:vAlign w:val="center"/>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rPr>
                <w:rFonts w:ascii="Calibri" w:eastAsia="Arial" w:hAnsi="Calibri"/>
                <w:color w:val="000000"/>
              </w:rPr>
            </w:pPr>
          </w:p>
        </w:tc>
        <w:tc>
          <w:tcPr>
            <w:tcW w:w="2541"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000000" w:firstRow="0" w:lastRow="0" w:firstColumn="0" w:lastColumn="0" w:oddVBand="0" w:evenVBand="0" w:oddHBand="0"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Dépistage du diabète par glycémie à jeun</w:t>
            </w:r>
          </w:p>
        </w:tc>
        <w:tc>
          <w:tcPr>
            <w:tcW w:w="6373"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000000" w:firstRow="0" w:lastRow="0" w:firstColumn="0" w:lastColumn="0" w:oddVBand="0" w:evenVBand="0" w:oddHBand="0"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Parmi les personnes de 45 ans et plus atteintes de maladie cardiovasculaire ou associée (MCVA), l'indicateur est validé pour celles ayant bénéficié d'un dépistage biologique du diabète par la glycémie à jeun depuis 3 ans ou moins.</w:t>
            </w:r>
          </w:p>
        </w:tc>
      </w:tr>
      <w:tr w:rsidR="000D6ACB" w:rsidRPr="000D6ACB" w:rsidTr="000D6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7" w:type="dxa"/>
            <w:vMerge/>
            <w:vAlign w:val="center"/>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rPr>
                <w:rFonts w:ascii="Calibri" w:eastAsia="Arial" w:hAnsi="Calibri"/>
                <w:color w:val="000000"/>
              </w:rPr>
            </w:pPr>
          </w:p>
        </w:tc>
        <w:tc>
          <w:tcPr>
            <w:tcW w:w="2541"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100000" w:firstRow="0" w:lastRow="0" w:firstColumn="0" w:lastColumn="0" w:oddVBand="0" w:evenVBand="0" w:oddHBand="1" w:evenHBand="0" w:firstRowFirstColumn="0" w:firstRowLastColumn="0" w:lastRowFirstColumn="0" w:lastRowLastColumn="0"/>
              <w:rPr>
                <w:rFonts w:ascii="Calibri" w:eastAsia="Arial" w:hAnsi="Calibri"/>
                <w:color w:val="000000"/>
              </w:rPr>
            </w:pPr>
          </w:p>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100000" w:firstRow="0" w:lastRow="0" w:firstColumn="0" w:lastColumn="0" w:oddVBand="0" w:evenVBand="0" w:oddHBand="1" w:evenHBand="0" w:firstRowFirstColumn="0" w:firstRowLastColumn="0" w:lastRowFirstColumn="0" w:lastRowLastColumn="0"/>
              <w:rPr>
                <w:rFonts w:ascii="Calibri" w:eastAsia="Arial" w:hAnsi="Calibri"/>
                <w:color w:val="000000"/>
              </w:rPr>
            </w:pPr>
          </w:p>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100000" w:firstRow="0" w:lastRow="0" w:firstColumn="0" w:lastColumn="0" w:oddVBand="0" w:evenVBand="0" w:oddHBand="1"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 xml:space="preserve">Dépistage de la maladie rénale chronique MRC </w:t>
            </w:r>
          </w:p>
        </w:tc>
        <w:tc>
          <w:tcPr>
            <w:tcW w:w="6373"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100000" w:firstRow="0" w:lastRow="0" w:firstColumn="0" w:lastColumn="0" w:oddVBand="0" w:evenVBand="0" w:oddHBand="1" w:evenHBand="0" w:firstRowFirstColumn="0" w:firstRowLastColumn="0" w:lastRowFirstColumn="0" w:lastRowLastColumn="0"/>
              <w:rPr>
                <w:rFonts w:ascii="Calibri" w:eastAsia="Arial" w:hAnsi="Calibri"/>
                <w:color w:val="000000"/>
              </w:rPr>
            </w:pPr>
          </w:p>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100000" w:firstRow="0" w:lastRow="0" w:firstColumn="0" w:lastColumn="0" w:oddVBand="0" w:evenVBand="0" w:oddHBand="1"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Parmi les personnes de 18 ans et plus souffrant de maladie cardiovasculaire ou associée (MCVA) ou de maladie de système ou auto-immunes, l'indicateur est validé pour celles ayant bénéficié d'un dépistage biologique de la maladie rénale chronique par dosage sanguin de la créatinine et un dosage urinaire d'albumine /et de la créatinine depuis 1 an ou moins.</w:t>
            </w:r>
          </w:p>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100000" w:firstRow="0" w:lastRow="0" w:firstColumn="0" w:lastColumn="0" w:oddVBand="0" w:evenVBand="0" w:oddHBand="1" w:evenHBand="0" w:firstRowFirstColumn="0" w:firstRowLastColumn="0" w:lastRowFirstColumn="0" w:lastRowLastColumn="0"/>
              <w:rPr>
                <w:rFonts w:ascii="Calibri" w:eastAsia="Arial" w:hAnsi="Calibri"/>
                <w:color w:val="000000"/>
              </w:rPr>
            </w:pPr>
          </w:p>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100000" w:firstRow="0" w:lastRow="0" w:firstColumn="0" w:lastColumn="0" w:oddVBand="0" w:evenVBand="0" w:oddHBand="1" w:evenHBand="0" w:firstRowFirstColumn="0" w:firstRowLastColumn="0" w:lastRowFirstColumn="0" w:lastRowLastColumn="0"/>
              <w:rPr>
                <w:rFonts w:ascii="Calibri" w:eastAsia="Arial" w:hAnsi="Calibri"/>
                <w:color w:val="000000"/>
              </w:rPr>
            </w:pPr>
          </w:p>
        </w:tc>
      </w:tr>
      <w:tr w:rsidR="000D6ACB" w:rsidRPr="000D6ACB" w:rsidTr="00AD4C92">
        <w:tc>
          <w:tcPr>
            <w:cnfStyle w:val="001000000000" w:firstRow="0" w:lastRow="0" w:firstColumn="1" w:lastColumn="0" w:oddVBand="0" w:evenVBand="0" w:oddHBand="0" w:evenHBand="0" w:firstRowFirstColumn="0" w:firstRowLastColumn="0" w:lastRowFirstColumn="0" w:lastRowLastColumn="0"/>
            <w:tcW w:w="1287" w:type="dxa"/>
            <w:vMerge w:val="restart"/>
            <w:vAlign w:val="center"/>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rPr>
                <w:rFonts w:ascii="Calibri" w:eastAsia="Arial" w:hAnsi="Calibri"/>
                <w:color w:val="000000"/>
              </w:rPr>
            </w:pPr>
            <w:r w:rsidRPr="000D6ACB">
              <w:rPr>
                <w:rFonts w:ascii="Calibri" w:eastAsia="Arial" w:hAnsi="Calibri"/>
                <w:color w:val="000000"/>
              </w:rPr>
              <w:t>Suivi</w:t>
            </w:r>
          </w:p>
        </w:tc>
        <w:tc>
          <w:tcPr>
            <w:tcW w:w="2541"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000000" w:firstRow="0" w:lastRow="0" w:firstColumn="0" w:lastColumn="0" w:oddVBand="0" w:evenVBand="0" w:oddHBand="0"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Suivi du diabète par dosage de l'HbA1c</w:t>
            </w:r>
          </w:p>
        </w:tc>
        <w:tc>
          <w:tcPr>
            <w:tcW w:w="6373"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000000" w:firstRow="0" w:lastRow="0" w:firstColumn="0" w:lastColumn="0" w:oddVBand="0" w:evenVBand="0" w:oddHBand="0"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 xml:space="preserve">Parmi les personnes diabétiques, l'indicateur est validé pour celles ayant bénéficié d'un suivi biologique du diabète par dosage sanguin de l'hémoglobine </w:t>
            </w:r>
            <w:proofErr w:type="spellStart"/>
            <w:r w:rsidRPr="000D6ACB">
              <w:rPr>
                <w:rFonts w:ascii="Calibri" w:eastAsia="Arial" w:hAnsi="Calibri"/>
                <w:color w:val="000000"/>
              </w:rPr>
              <w:t>glyquée</w:t>
            </w:r>
            <w:proofErr w:type="spellEnd"/>
            <w:r w:rsidRPr="000D6ACB">
              <w:rPr>
                <w:rFonts w:ascii="Calibri" w:eastAsia="Arial" w:hAnsi="Calibri"/>
                <w:color w:val="000000"/>
              </w:rPr>
              <w:t xml:space="preserve"> (HbA1c) depuis 6 mois ou moins.</w:t>
            </w:r>
          </w:p>
        </w:tc>
      </w:tr>
      <w:tr w:rsidR="000D6ACB" w:rsidRPr="000D6ACB" w:rsidTr="000D6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7" w:type="dxa"/>
            <w:vMerge/>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rPr>
                <w:rFonts w:ascii="Calibri" w:eastAsia="Arial" w:hAnsi="Calibri"/>
                <w:color w:val="000000"/>
              </w:rPr>
            </w:pPr>
          </w:p>
        </w:tc>
        <w:tc>
          <w:tcPr>
            <w:tcW w:w="2541"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100000" w:firstRow="0" w:lastRow="0" w:firstColumn="0" w:lastColumn="0" w:oddVBand="0" w:evenVBand="0" w:oddHBand="1" w:evenHBand="0" w:firstRowFirstColumn="0" w:firstRowLastColumn="0" w:lastRowFirstColumn="0" w:lastRowLastColumn="0"/>
              <w:rPr>
                <w:rFonts w:ascii="Calibri" w:eastAsia="Arial" w:hAnsi="Calibri"/>
                <w:color w:val="000000"/>
              </w:rPr>
            </w:pPr>
            <w:r w:rsidRPr="000D6ACB">
              <w:rPr>
                <w:rFonts w:ascii="Calibri" w:eastAsia="Arial" w:hAnsi="Calibri"/>
                <w:bCs/>
                <w:color w:val="000000"/>
              </w:rPr>
              <w:t>Consultation obligatoire de l'enfant donnant lieu à un certificat de santé</w:t>
            </w:r>
          </w:p>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100000" w:firstRow="0" w:lastRow="0" w:firstColumn="0" w:lastColumn="0" w:oddVBand="0" w:evenVBand="0" w:oddHBand="1"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M9</w:t>
            </w:r>
          </w:p>
        </w:tc>
        <w:tc>
          <w:tcPr>
            <w:tcW w:w="6373"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100000" w:firstRow="0" w:lastRow="0" w:firstColumn="0" w:lastColumn="0" w:oddVBand="0" w:evenVBand="0" w:oddHBand="1"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Parmi les enfants de 8 à 21 mois inclus (&lt; 22 mois), l'indicateur est validé pour ceux ayant bénéficié d'une consultation obligatoire de l'enfant auprès d'un médecin généraliste ou d'un pédiatre entre le 8è et 10è mois inclus.</w:t>
            </w:r>
          </w:p>
        </w:tc>
      </w:tr>
      <w:tr w:rsidR="000D6ACB" w:rsidRPr="000D6ACB" w:rsidTr="00AD4C92">
        <w:tc>
          <w:tcPr>
            <w:cnfStyle w:val="001000000000" w:firstRow="0" w:lastRow="0" w:firstColumn="1" w:lastColumn="0" w:oddVBand="0" w:evenVBand="0" w:oddHBand="0" w:evenHBand="0" w:firstRowFirstColumn="0" w:firstRowLastColumn="0" w:lastRowFirstColumn="0" w:lastRowLastColumn="0"/>
            <w:tcW w:w="1287" w:type="dxa"/>
            <w:vMerge/>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rPr>
                <w:rFonts w:ascii="Calibri" w:eastAsia="Arial" w:hAnsi="Calibri"/>
                <w:color w:val="000000"/>
              </w:rPr>
            </w:pPr>
          </w:p>
        </w:tc>
        <w:tc>
          <w:tcPr>
            <w:tcW w:w="2541"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000000" w:firstRow="0" w:lastRow="0" w:firstColumn="0" w:lastColumn="0" w:oddVBand="0" w:evenVBand="0" w:oddHBand="0" w:evenHBand="0" w:firstRowFirstColumn="0" w:firstRowLastColumn="0" w:lastRowFirstColumn="0" w:lastRowLastColumn="0"/>
              <w:rPr>
                <w:rFonts w:ascii="Calibri" w:eastAsia="Arial" w:hAnsi="Calibri"/>
                <w:color w:val="000000"/>
              </w:rPr>
            </w:pPr>
            <w:r w:rsidRPr="000D6ACB">
              <w:rPr>
                <w:rFonts w:ascii="Calibri" w:eastAsia="Arial" w:hAnsi="Calibri"/>
                <w:bCs/>
                <w:color w:val="000000"/>
              </w:rPr>
              <w:t>Consultation obligatoire de l'enfant donnant lieu à un certificat de santé</w:t>
            </w:r>
          </w:p>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000000" w:firstRow="0" w:lastRow="0" w:firstColumn="0" w:lastColumn="0" w:oddVBand="0" w:evenVBand="0" w:oddHBand="0"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M24 25</w:t>
            </w:r>
          </w:p>
        </w:tc>
        <w:tc>
          <w:tcPr>
            <w:tcW w:w="6373"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000000" w:firstRow="0" w:lastRow="0" w:firstColumn="0" w:lastColumn="0" w:oddVBand="0" w:evenVBand="0" w:oddHBand="0"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Parmi les enfants de 22 à 37 mois inclus (&lt; 38 mois), l'indicateur est validé pour ceux ayant bénéficié d'une consultation obligatoire de l'enfant auprès d'un médecin généraliste ou d'un pédiatre entre le 22è et 26è mois inclus.</w:t>
            </w:r>
          </w:p>
        </w:tc>
      </w:tr>
      <w:tr w:rsidR="000D6ACB" w:rsidRPr="000D6ACB" w:rsidTr="000D6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7" w:type="dxa"/>
            <w:vMerge/>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rPr>
                <w:rFonts w:ascii="Calibri" w:eastAsia="Arial" w:hAnsi="Calibri"/>
                <w:color w:val="000000"/>
              </w:rPr>
            </w:pPr>
          </w:p>
        </w:tc>
        <w:tc>
          <w:tcPr>
            <w:tcW w:w="2541"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100000" w:firstRow="0" w:lastRow="0" w:firstColumn="0" w:lastColumn="0" w:oddVBand="0" w:evenVBand="0" w:oddHBand="1"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Examen bucco-dentaire annuel 3-24 ans</w:t>
            </w:r>
          </w:p>
        </w:tc>
        <w:tc>
          <w:tcPr>
            <w:tcW w:w="6373" w:type="dxa"/>
          </w:tcPr>
          <w:p w:rsidR="000D6ACB" w:rsidRPr="000D6ACB" w:rsidRDefault="000D6ACB" w:rsidP="000D6ACB">
            <w:pPr>
              <w:pBdr>
                <w:top w:val="none" w:sz="4" w:space="0" w:color="000000"/>
                <w:left w:val="none" w:sz="4" w:space="0" w:color="000000"/>
                <w:bottom w:val="none" w:sz="4" w:space="0" w:color="000000"/>
                <w:right w:val="none" w:sz="4" w:space="0" w:color="000000"/>
              </w:pBdr>
              <w:spacing w:before="200"/>
              <w:ind w:right="111"/>
              <w:jc w:val="both"/>
              <w:cnfStyle w:val="000000100000" w:firstRow="0" w:lastRow="0" w:firstColumn="0" w:lastColumn="0" w:oddVBand="0" w:evenVBand="0" w:oddHBand="1" w:evenHBand="0" w:firstRowFirstColumn="0" w:firstRowLastColumn="0" w:lastRowFirstColumn="0" w:lastRowLastColumn="0"/>
              <w:rPr>
                <w:rFonts w:ascii="Calibri" w:eastAsia="Arial" w:hAnsi="Calibri"/>
                <w:color w:val="000000"/>
              </w:rPr>
            </w:pPr>
            <w:r w:rsidRPr="000D6ACB">
              <w:rPr>
                <w:rFonts w:ascii="Calibri" w:eastAsia="Arial" w:hAnsi="Calibri"/>
                <w:color w:val="000000"/>
              </w:rPr>
              <w:t>Parmi les personnes de 3 à 24 ans inclus (moins de 25 ans), l'indicateur est validé pour celles ayant bénéficié d'un suivi bucco-dentaire auprès d'un chirurgien-dentiste, chirurgien maxillo-facial, stomatologue ou chirurgien oral depuis 1 an ou moins.</w:t>
            </w:r>
          </w:p>
        </w:tc>
      </w:tr>
    </w:tbl>
    <w:p w:rsidR="000D6ACB" w:rsidRDefault="000D6ACB"/>
    <w:p w:rsidR="000D6ACB" w:rsidRDefault="000D6ACB"/>
    <w:p w:rsidR="000D6ACB" w:rsidRDefault="000D6ACB"/>
    <w:sectPr w:rsidR="000D6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310EC2"/>
    <w:multiLevelType w:val="hybridMultilevel"/>
    <w:tmpl w:val="C708100A"/>
    <w:lvl w:ilvl="0" w:tplc="C83C29EC">
      <w:start w:val="1"/>
      <w:numFmt w:val="bullet"/>
      <w:lvlText w:val="•"/>
      <w:lvlJc w:val="left"/>
      <w:pPr>
        <w:tabs>
          <w:tab w:val="num" w:pos="720"/>
        </w:tabs>
        <w:ind w:left="720" w:hanging="360"/>
      </w:pPr>
      <w:rPr>
        <w:rFonts w:ascii="Arial" w:hAnsi="Arial" w:hint="default"/>
      </w:rPr>
    </w:lvl>
    <w:lvl w:ilvl="1" w:tplc="9A3ED04C" w:tentative="1">
      <w:start w:val="1"/>
      <w:numFmt w:val="bullet"/>
      <w:lvlText w:val="•"/>
      <w:lvlJc w:val="left"/>
      <w:pPr>
        <w:tabs>
          <w:tab w:val="num" w:pos="1440"/>
        </w:tabs>
        <w:ind w:left="1440" w:hanging="360"/>
      </w:pPr>
      <w:rPr>
        <w:rFonts w:ascii="Arial" w:hAnsi="Arial" w:hint="default"/>
      </w:rPr>
    </w:lvl>
    <w:lvl w:ilvl="2" w:tplc="81E8031C" w:tentative="1">
      <w:start w:val="1"/>
      <w:numFmt w:val="bullet"/>
      <w:lvlText w:val="•"/>
      <w:lvlJc w:val="left"/>
      <w:pPr>
        <w:tabs>
          <w:tab w:val="num" w:pos="2160"/>
        </w:tabs>
        <w:ind w:left="2160" w:hanging="360"/>
      </w:pPr>
      <w:rPr>
        <w:rFonts w:ascii="Arial" w:hAnsi="Arial" w:hint="default"/>
      </w:rPr>
    </w:lvl>
    <w:lvl w:ilvl="3" w:tplc="AEAEF458" w:tentative="1">
      <w:start w:val="1"/>
      <w:numFmt w:val="bullet"/>
      <w:lvlText w:val="•"/>
      <w:lvlJc w:val="left"/>
      <w:pPr>
        <w:tabs>
          <w:tab w:val="num" w:pos="2880"/>
        </w:tabs>
        <w:ind w:left="2880" w:hanging="360"/>
      </w:pPr>
      <w:rPr>
        <w:rFonts w:ascii="Arial" w:hAnsi="Arial" w:hint="default"/>
      </w:rPr>
    </w:lvl>
    <w:lvl w:ilvl="4" w:tplc="6192732A" w:tentative="1">
      <w:start w:val="1"/>
      <w:numFmt w:val="bullet"/>
      <w:lvlText w:val="•"/>
      <w:lvlJc w:val="left"/>
      <w:pPr>
        <w:tabs>
          <w:tab w:val="num" w:pos="3600"/>
        </w:tabs>
        <w:ind w:left="3600" w:hanging="360"/>
      </w:pPr>
      <w:rPr>
        <w:rFonts w:ascii="Arial" w:hAnsi="Arial" w:hint="default"/>
      </w:rPr>
    </w:lvl>
    <w:lvl w:ilvl="5" w:tplc="8CDC61D2" w:tentative="1">
      <w:start w:val="1"/>
      <w:numFmt w:val="bullet"/>
      <w:lvlText w:val="•"/>
      <w:lvlJc w:val="left"/>
      <w:pPr>
        <w:tabs>
          <w:tab w:val="num" w:pos="4320"/>
        </w:tabs>
        <w:ind w:left="4320" w:hanging="360"/>
      </w:pPr>
      <w:rPr>
        <w:rFonts w:ascii="Arial" w:hAnsi="Arial" w:hint="default"/>
      </w:rPr>
    </w:lvl>
    <w:lvl w:ilvl="6" w:tplc="23D866FE" w:tentative="1">
      <w:start w:val="1"/>
      <w:numFmt w:val="bullet"/>
      <w:lvlText w:val="•"/>
      <w:lvlJc w:val="left"/>
      <w:pPr>
        <w:tabs>
          <w:tab w:val="num" w:pos="5040"/>
        </w:tabs>
        <w:ind w:left="5040" w:hanging="360"/>
      </w:pPr>
      <w:rPr>
        <w:rFonts w:ascii="Arial" w:hAnsi="Arial" w:hint="default"/>
      </w:rPr>
    </w:lvl>
    <w:lvl w:ilvl="7" w:tplc="BA4EF15C" w:tentative="1">
      <w:start w:val="1"/>
      <w:numFmt w:val="bullet"/>
      <w:lvlText w:val="•"/>
      <w:lvlJc w:val="left"/>
      <w:pPr>
        <w:tabs>
          <w:tab w:val="num" w:pos="5760"/>
        </w:tabs>
        <w:ind w:left="5760" w:hanging="360"/>
      </w:pPr>
      <w:rPr>
        <w:rFonts w:ascii="Arial" w:hAnsi="Arial" w:hint="default"/>
      </w:rPr>
    </w:lvl>
    <w:lvl w:ilvl="8" w:tplc="D5EA087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ACB"/>
    <w:rsid w:val="000D6ACB"/>
    <w:rsid w:val="0060791C"/>
    <w:rsid w:val="00AA2CBE"/>
    <w:rsid w:val="00CB4E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4B8EF"/>
  <w15:chartTrackingRefBased/>
  <w15:docId w15:val="{851C8FE9-60A3-4223-A3EC-7FC9F643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auGrille2-Accentuation41">
    <w:name w:val="Tableau Grille 2 - Accentuation 41"/>
    <w:basedOn w:val="TableauNormal"/>
    <w:next w:val="TableauGrille2-Accentuation4"/>
    <w:uiPriority w:val="47"/>
    <w:rsid w:val="000D6ACB"/>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ACB9D9"/>
        <w:bottom w:val="single" w:sz="2" w:space="0" w:color="ACB9D9"/>
        <w:insideH w:val="single" w:sz="2" w:space="0" w:color="ACB9D9"/>
        <w:insideV w:val="single" w:sz="2" w:space="0" w:color="ACB9D9"/>
      </w:tblBorders>
    </w:tblPr>
    <w:tblStylePr w:type="firstRow">
      <w:rPr>
        <w:b/>
        <w:bCs/>
      </w:rPr>
      <w:tblPr/>
      <w:tcPr>
        <w:tcBorders>
          <w:top w:val="nil"/>
          <w:bottom w:val="single" w:sz="12" w:space="0" w:color="ACB9D9"/>
          <w:insideH w:val="nil"/>
          <w:insideV w:val="nil"/>
        </w:tcBorders>
        <w:shd w:val="clear" w:color="auto" w:fill="FFFFFF"/>
      </w:tcPr>
    </w:tblStylePr>
    <w:tblStylePr w:type="lastRow">
      <w:rPr>
        <w:b/>
        <w:bCs/>
      </w:rPr>
      <w:tblPr/>
      <w:tcPr>
        <w:tcBorders>
          <w:top w:val="double" w:sz="2" w:space="0" w:color="ACB9D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3E7F2"/>
      </w:tcPr>
    </w:tblStylePr>
    <w:tblStylePr w:type="band1Horz">
      <w:tblPr/>
      <w:tcPr>
        <w:shd w:val="clear" w:color="auto" w:fill="E3E7F2"/>
      </w:tcPr>
    </w:tblStylePr>
  </w:style>
  <w:style w:type="table" w:styleId="TableauGrille2-Accentuation4">
    <w:name w:val="Grid Table 2 Accent 4"/>
    <w:basedOn w:val="TableauNormal"/>
    <w:uiPriority w:val="47"/>
    <w:rsid w:val="000D6ACB"/>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774</Words>
  <Characters>4263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Cnam</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Clémentine Robert-Vignes (CNAM / Paris)</dc:creator>
  <cp:keywords/>
  <dc:description/>
  <cp:lastModifiedBy>Clémentine Robert-Vignes (CNAM / Paris)</cp:lastModifiedBy>
  <cp:revision>1</cp:revision>
  <dcterms:created xsi:type="dcterms:W3CDTF">2025-09-19T14:19:00Z</dcterms:created>
  <dcterms:modified xsi:type="dcterms:W3CDTF">2025-09-19T14:21:00Z</dcterms:modified>
</cp:coreProperties>
</file>