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7091A" w14:textId="77777777" w:rsidR="00B21FBB" w:rsidRDefault="00BB5338">
      <w:r>
        <w:t>Annexe 3 : récapitulatif des indicateurs modifiés, nouveaux et supprimés</w:t>
      </w:r>
    </w:p>
    <w:tbl>
      <w:tblPr>
        <w:tblStyle w:val="Grilledutableau"/>
        <w:tblW w:w="9837" w:type="dxa"/>
        <w:tblLook w:val="04A0" w:firstRow="1" w:lastRow="0" w:firstColumn="1" w:lastColumn="0" w:noHBand="0" w:noVBand="1"/>
      </w:tblPr>
      <w:tblGrid>
        <w:gridCol w:w="2802"/>
        <w:gridCol w:w="7035"/>
      </w:tblGrid>
      <w:tr w:rsidR="00BB5338" w14:paraId="78B57155" w14:textId="77777777" w:rsidTr="004E19FC">
        <w:trPr>
          <w:trHeight w:val="256"/>
        </w:trPr>
        <w:tc>
          <w:tcPr>
            <w:tcW w:w="9837" w:type="dxa"/>
            <w:gridSpan w:val="2"/>
          </w:tcPr>
          <w:p w14:paraId="620519A3" w14:textId="77777777" w:rsidR="00BB5338" w:rsidRPr="00BB5338" w:rsidRDefault="00BB5338" w:rsidP="00BB5338">
            <w:pPr>
              <w:jc w:val="center"/>
              <w:rPr>
                <w:b/>
              </w:rPr>
            </w:pPr>
            <w:r w:rsidRPr="00BB5338">
              <w:rPr>
                <w:b/>
              </w:rPr>
              <w:t>INDICATEURS MODIFIES</w:t>
            </w:r>
          </w:p>
        </w:tc>
      </w:tr>
      <w:tr w:rsidR="00BB5338" w14:paraId="53696887" w14:textId="77777777" w:rsidTr="00BB5338">
        <w:trPr>
          <w:trHeight w:val="245"/>
        </w:trPr>
        <w:tc>
          <w:tcPr>
            <w:tcW w:w="2802" w:type="dxa"/>
          </w:tcPr>
          <w:p w14:paraId="63C9B207" w14:textId="77777777" w:rsidR="00BB5338" w:rsidRDefault="00BB5338">
            <w:r w:rsidRPr="00127351">
              <w:rPr>
                <w:rFonts w:eastAsia="Times New Roman"/>
                <w:i/>
                <w:iCs/>
                <w:color w:val="000000"/>
                <w:lang w:eastAsia="fr-FR"/>
              </w:rPr>
              <w:t>HORAIRES D'OUVERTURE ET SNP</w:t>
            </w:r>
          </w:p>
        </w:tc>
        <w:tc>
          <w:tcPr>
            <w:tcW w:w="7035" w:type="dxa"/>
          </w:tcPr>
          <w:p w14:paraId="4BBFA2F7" w14:textId="683A0DBF" w:rsidR="00BB5338" w:rsidRDefault="00BB5338" w:rsidP="00BB5338">
            <w:pPr>
              <w:pStyle w:val="Titre2"/>
              <w:numPr>
                <w:ilvl w:val="0"/>
                <w:numId w:val="0"/>
              </w:numPr>
              <w:jc w:val="both"/>
              <w:outlineLvl w:val="1"/>
              <w:rPr>
                <w:rFonts w:eastAsia="Calibri" w:cs="Calibri"/>
                <w:b w:val="0"/>
                <w:color w:val="auto"/>
                <w:sz w:val="22"/>
                <w:szCs w:val="22"/>
              </w:rPr>
            </w:pPr>
            <w:r w:rsidRPr="009B0B01">
              <w:rPr>
                <w:rFonts w:eastAsia="Calibri" w:cs="Calibri"/>
                <w:b w:val="0"/>
                <w:color w:val="auto"/>
                <w:sz w:val="22"/>
                <w:szCs w:val="22"/>
              </w:rPr>
              <w:t>L</w:t>
            </w:r>
            <w:r>
              <w:rPr>
                <w:rFonts w:eastAsia="Calibri" w:cs="Calibri"/>
                <w:b w:val="0"/>
                <w:color w:val="auto"/>
                <w:sz w:val="22"/>
                <w:szCs w:val="22"/>
              </w:rPr>
              <w:t xml:space="preserve">a notion d’horaire d’ouverture est appréciée en fonction d’une amplitude horaire par jour (8 heures par jour minimum en semaine et 4 heures minimum le samedi matin). </w:t>
            </w:r>
            <w:r w:rsidRPr="009B0B01">
              <w:rPr>
                <w:rFonts w:eastAsia="Calibri" w:cs="Calibri"/>
                <w:b w:val="0"/>
                <w:color w:val="auto"/>
                <w:sz w:val="22"/>
                <w:szCs w:val="22"/>
              </w:rPr>
              <w:t xml:space="preserve">Par ailleurs, </w:t>
            </w:r>
            <w:r>
              <w:rPr>
                <w:rFonts w:eastAsia="Calibri" w:cs="Calibri"/>
                <w:b w:val="0"/>
                <w:color w:val="auto"/>
                <w:sz w:val="22"/>
                <w:szCs w:val="22"/>
              </w:rPr>
              <w:t xml:space="preserve">cet indicateur socle </w:t>
            </w:r>
            <w:r w:rsidRPr="002A0331">
              <w:rPr>
                <w:rFonts w:eastAsia="Calibri" w:cs="Calibri"/>
                <w:b w:val="0"/>
                <w:color w:val="auto"/>
                <w:sz w:val="22"/>
                <w:szCs w:val="22"/>
              </w:rPr>
              <w:t>a été adapté pour les centres de santé comptant moins de 2,5 ETP de professionnel de santé</w:t>
            </w:r>
            <w:r>
              <w:rPr>
                <w:rFonts w:eastAsia="Calibri" w:cs="Calibri"/>
                <w:b w:val="0"/>
                <w:color w:val="auto"/>
                <w:sz w:val="22"/>
                <w:szCs w:val="22"/>
              </w:rPr>
              <w:t xml:space="preserve"> (l’amplitude horaire est réduite à une ouverture de 6 heures par jour minimum</w:t>
            </w:r>
            <w:r w:rsidR="00400ABC">
              <w:rPr>
                <w:rFonts w:eastAsia="Calibri" w:cs="Calibri"/>
                <w:b w:val="0"/>
                <w:color w:val="auto"/>
                <w:sz w:val="22"/>
                <w:szCs w:val="22"/>
              </w:rPr>
              <w:t xml:space="preserve"> en semaine et 4 </w:t>
            </w:r>
            <w:r w:rsidR="00BF5205">
              <w:rPr>
                <w:rFonts w:eastAsia="Calibri" w:cs="Calibri"/>
                <w:b w:val="0"/>
                <w:color w:val="auto"/>
                <w:sz w:val="22"/>
                <w:szCs w:val="22"/>
              </w:rPr>
              <w:t>heures)</w:t>
            </w:r>
            <w:r>
              <w:rPr>
                <w:rFonts w:eastAsia="Calibri" w:cs="Calibri"/>
                <w:b w:val="0"/>
                <w:color w:val="auto"/>
                <w:sz w:val="22"/>
                <w:szCs w:val="22"/>
              </w:rPr>
              <w:t xml:space="preserve"> et pour les centres de santé étudiants (pas d’exigence d’ouverture pendant les congés scolaires et de mise en place d’une organisation proposant des soins non programmés).</w:t>
            </w:r>
          </w:p>
          <w:p w14:paraId="6FDC1DC8" w14:textId="555DDAA3" w:rsidR="00872879" w:rsidRPr="00015EDB" w:rsidRDefault="00BB5338" w:rsidP="00BB5338">
            <w:pPr>
              <w:jc w:val="both"/>
            </w:pPr>
            <w:r w:rsidRPr="00015EDB">
              <w:rPr>
                <w:rFonts w:cs="Calibri"/>
              </w:rPr>
              <w:t xml:space="preserve">Cet indicateur a été revalorisé pour les centres de santé dentaires et infirmiers. </w:t>
            </w:r>
          </w:p>
          <w:p w14:paraId="63E14037" w14:textId="51884C9D" w:rsidR="00BB5338" w:rsidRDefault="00BB5338" w:rsidP="00BF5205">
            <w:pPr>
              <w:jc w:val="both"/>
            </w:pPr>
          </w:p>
        </w:tc>
      </w:tr>
      <w:tr w:rsidR="00BB5338" w14:paraId="5D67DFEB" w14:textId="77777777" w:rsidTr="00E555B3">
        <w:trPr>
          <w:trHeight w:val="256"/>
        </w:trPr>
        <w:tc>
          <w:tcPr>
            <w:tcW w:w="2802" w:type="dxa"/>
          </w:tcPr>
          <w:p w14:paraId="0DDBE820"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FONCTION DE COORDINATION</w:t>
            </w:r>
          </w:p>
        </w:tc>
        <w:tc>
          <w:tcPr>
            <w:tcW w:w="7035" w:type="dxa"/>
            <w:vAlign w:val="center"/>
          </w:tcPr>
          <w:p w14:paraId="4864C860" w14:textId="6309CF2C" w:rsidR="00BB5338" w:rsidRPr="009B0B01" w:rsidRDefault="00BB5338" w:rsidP="00872879">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La fonction de coordination a été revalorisée pour tous les 3 types de centres de santé.</w:t>
            </w:r>
            <w:r w:rsidR="00BF5205">
              <w:rPr>
                <w:rFonts w:eastAsia="Calibri" w:cs="Calibri"/>
                <w:b w:val="0"/>
                <w:color w:val="auto"/>
                <w:sz w:val="22"/>
                <w:szCs w:val="22"/>
              </w:rPr>
              <w:t xml:space="preserve"> </w:t>
            </w:r>
            <w:bookmarkStart w:id="0" w:name="_GoBack"/>
            <w:bookmarkEnd w:id="0"/>
            <w:r w:rsidR="00872879">
              <w:rPr>
                <w:rFonts w:eastAsia="Calibri" w:cs="Calibri"/>
                <w:b w:val="0"/>
                <w:color w:val="auto"/>
                <w:sz w:val="22"/>
                <w:szCs w:val="22"/>
              </w:rPr>
              <w:t xml:space="preserve">Par ailleurs, les missions de la fonction de coordination dans les centres de santé médicaux et polyvalents a été étendue à la réalisation d’actions avec des partenaires extérieurs. </w:t>
            </w:r>
          </w:p>
        </w:tc>
      </w:tr>
      <w:tr w:rsidR="00BB5338" w14:paraId="2158B15B" w14:textId="77777777" w:rsidTr="009000B6">
        <w:trPr>
          <w:trHeight w:val="245"/>
        </w:trPr>
        <w:tc>
          <w:tcPr>
            <w:tcW w:w="2802" w:type="dxa"/>
          </w:tcPr>
          <w:p w14:paraId="75061A6D" w14:textId="77777777" w:rsidR="00BB5338" w:rsidRDefault="00BB5338" w:rsidP="00BB5338">
            <w:pPr>
              <w:rPr>
                <w:rFonts w:eastAsia="Times New Roman"/>
                <w:i/>
                <w:iCs/>
                <w:color w:val="000000"/>
                <w:lang w:eastAsia="fr-FR"/>
              </w:rPr>
            </w:pPr>
            <w:r w:rsidRPr="00127351">
              <w:rPr>
                <w:rFonts w:eastAsia="Times New Roman"/>
                <w:i/>
                <w:iCs/>
                <w:color w:val="000000"/>
                <w:lang w:eastAsia="fr-FR"/>
              </w:rPr>
              <w:t>DIVERSITE DE PROFESSIONS MEDICALES</w:t>
            </w:r>
          </w:p>
        </w:tc>
        <w:tc>
          <w:tcPr>
            <w:tcW w:w="7035" w:type="dxa"/>
            <w:vAlign w:val="center"/>
          </w:tcPr>
          <w:p w14:paraId="0630C28F"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L’indicateur a été simplifié afin de tenir compte de la diversité des professions de santé médicales. </w:t>
            </w:r>
          </w:p>
          <w:p w14:paraId="17A49E46" w14:textId="77777777" w:rsidR="00BB5338" w:rsidRPr="00E71C11" w:rsidRDefault="00BB5338" w:rsidP="00BB5338">
            <w:pPr>
              <w:jc w:val="both"/>
            </w:pPr>
            <w:r>
              <w:t>Il ne s’applique qu’aux centres de santé médicaux et polyvalents.</w:t>
            </w:r>
          </w:p>
        </w:tc>
      </w:tr>
      <w:tr w:rsidR="00BB5338" w14:paraId="3327D35C" w14:textId="77777777" w:rsidTr="00314E52">
        <w:trPr>
          <w:trHeight w:val="256"/>
        </w:trPr>
        <w:tc>
          <w:tcPr>
            <w:tcW w:w="2802" w:type="dxa"/>
          </w:tcPr>
          <w:p w14:paraId="6298C64D"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DIVERSITE D’AUXILIAIRES MEDICAUX</w:t>
            </w:r>
          </w:p>
        </w:tc>
        <w:tc>
          <w:tcPr>
            <w:tcW w:w="7035" w:type="dxa"/>
            <w:vAlign w:val="center"/>
          </w:tcPr>
          <w:p w14:paraId="19FC5470"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L’indicateur a été simplifié et la présence d’infirmiers en pratique avancée ainsi que des psychologues conventionnés fait l’objet d’une valorisation supplémentaire. </w:t>
            </w:r>
          </w:p>
          <w:p w14:paraId="004005B6" w14:textId="77777777" w:rsidR="00BB5338" w:rsidRPr="00E71C11" w:rsidRDefault="00BB5338" w:rsidP="00BB5338">
            <w:pPr>
              <w:jc w:val="both"/>
            </w:pPr>
            <w:r>
              <w:t>Il ne s’applique qu’aux centres de santé médicaux et polyvalents.</w:t>
            </w:r>
          </w:p>
        </w:tc>
      </w:tr>
      <w:tr w:rsidR="00BB5338" w14:paraId="0B8B7F77" w14:textId="77777777" w:rsidTr="00314E52">
        <w:trPr>
          <w:trHeight w:val="245"/>
        </w:trPr>
        <w:tc>
          <w:tcPr>
            <w:tcW w:w="2802" w:type="dxa"/>
          </w:tcPr>
          <w:p w14:paraId="19E44BC3" w14:textId="77777777" w:rsidR="00BB5338" w:rsidRDefault="00BB5338" w:rsidP="00BB5338">
            <w:pPr>
              <w:rPr>
                <w:rFonts w:eastAsia="Times New Roman"/>
                <w:i/>
                <w:iCs/>
                <w:color w:val="000000"/>
                <w:lang w:eastAsia="fr-FR"/>
              </w:rPr>
            </w:pPr>
            <w:r>
              <w:rPr>
                <w:rFonts w:eastAsia="Times New Roman"/>
                <w:i/>
                <w:iCs/>
                <w:color w:val="000000"/>
                <w:lang w:eastAsia="fr-FR"/>
              </w:rPr>
              <w:t>FORMATION DES JEUNES PROFESSIONNELS DE SANTE</w:t>
            </w:r>
          </w:p>
        </w:tc>
        <w:tc>
          <w:tcPr>
            <w:tcW w:w="7035" w:type="dxa"/>
            <w:vAlign w:val="center"/>
          </w:tcPr>
          <w:p w14:paraId="663B49CF"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Pour tous les types de centre de santé, le plafond maximal du nombre de stages valorisés a été réévalué à 7 stages avec une valorisation supplémentaire pour les centres de santé installés en ZIP.  Le nouvel accord national des centres de santé prévoit également de valoriser l’intégration des stagiaires en services sanitaire en centre de santé. </w:t>
            </w:r>
          </w:p>
        </w:tc>
      </w:tr>
      <w:tr w:rsidR="00BB5338" w14:paraId="1966AA03" w14:textId="77777777" w:rsidTr="00314E52">
        <w:trPr>
          <w:trHeight w:val="256"/>
        </w:trPr>
        <w:tc>
          <w:tcPr>
            <w:tcW w:w="2802" w:type="dxa"/>
          </w:tcPr>
          <w:p w14:paraId="01A5B5FA" w14:textId="77777777" w:rsidR="00BB5338" w:rsidRDefault="00BB5338" w:rsidP="00BB5338">
            <w:pPr>
              <w:rPr>
                <w:rFonts w:eastAsia="Times New Roman"/>
                <w:i/>
                <w:iCs/>
                <w:color w:val="000000"/>
                <w:lang w:eastAsia="fr-FR"/>
              </w:rPr>
            </w:pPr>
            <w:r>
              <w:rPr>
                <w:rFonts w:eastAsia="Times New Roman"/>
                <w:i/>
                <w:iCs/>
                <w:color w:val="000000"/>
                <w:lang w:eastAsia="fr-FR"/>
              </w:rPr>
              <w:t xml:space="preserve">PARTICIPATION A UNE ORGANISATION PROPOSANT DES SNP DANS LE CADRE DU SAS </w:t>
            </w:r>
          </w:p>
        </w:tc>
        <w:tc>
          <w:tcPr>
            <w:tcW w:w="7035" w:type="dxa"/>
            <w:vAlign w:val="center"/>
          </w:tcPr>
          <w:p w14:paraId="4D42DEB5"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Le contenu a été modifié ainsi que la valorisation par ETP médecin généraliste.</w:t>
            </w:r>
          </w:p>
        </w:tc>
      </w:tr>
      <w:tr w:rsidR="00BB5338" w14:paraId="3843A11B" w14:textId="77777777" w:rsidTr="00314E52">
        <w:trPr>
          <w:trHeight w:val="256"/>
        </w:trPr>
        <w:tc>
          <w:tcPr>
            <w:tcW w:w="2802" w:type="dxa"/>
          </w:tcPr>
          <w:p w14:paraId="1294F562" w14:textId="77777777" w:rsidR="00BB5338" w:rsidRDefault="00BB5338" w:rsidP="00BB5338">
            <w:pPr>
              <w:rPr>
                <w:rFonts w:eastAsia="Times New Roman"/>
                <w:i/>
                <w:iCs/>
                <w:color w:val="000000"/>
                <w:lang w:eastAsia="fr-FR"/>
              </w:rPr>
            </w:pPr>
            <w:r w:rsidRPr="00127351">
              <w:rPr>
                <w:rFonts w:eastAsia="Times New Roman"/>
                <w:i/>
                <w:iCs/>
                <w:color w:val="000000"/>
                <w:lang w:eastAsia="fr-FR"/>
              </w:rPr>
              <w:t>ACCOMPAGNEMENT PUBLICS VULNERABLES</w:t>
            </w:r>
          </w:p>
        </w:tc>
        <w:tc>
          <w:tcPr>
            <w:tcW w:w="7035" w:type="dxa"/>
            <w:vAlign w:val="center"/>
          </w:tcPr>
          <w:p w14:paraId="77965E3B" w14:textId="77777777" w:rsidR="00BB5338" w:rsidRDefault="00BB5338" w:rsidP="00BB5338">
            <w:pPr>
              <w:jc w:val="both"/>
              <w:rPr>
                <w:rFonts w:cs="Calibri"/>
                <w:bCs/>
              </w:rPr>
            </w:pPr>
            <w:r>
              <w:rPr>
                <w:rFonts w:cs="Calibri"/>
                <w:bCs/>
              </w:rPr>
              <w:t xml:space="preserve">L’indicateur a été modifié en intégrant un niveau transverse en amont. </w:t>
            </w:r>
          </w:p>
          <w:p w14:paraId="5EA9EF06" w14:textId="77777777" w:rsidR="00BB5338" w:rsidRDefault="00BB5338" w:rsidP="00BB5338">
            <w:pPr>
              <w:jc w:val="both"/>
              <w:rPr>
                <w:rFonts w:cs="Calibri"/>
                <w:b/>
              </w:rPr>
            </w:pPr>
            <w:r>
              <w:rPr>
                <w:rFonts w:cs="Calibri"/>
                <w:bCs/>
              </w:rPr>
              <w:t>Par ailleurs, le calcul de cet indicateur, basé sur une variable de patientèle, a été étendu aux patients en ALD et aux patients bénéficiaires de l’AAH (en plus des patients CSS et AME).</w:t>
            </w:r>
          </w:p>
        </w:tc>
      </w:tr>
      <w:tr w:rsidR="00BB5338" w14:paraId="0F84E8D2" w14:textId="77777777" w:rsidTr="00314E52">
        <w:trPr>
          <w:trHeight w:val="256"/>
        </w:trPr>
        <w:tc>
          <w:tcPr>
            <w:tcW w:w="2802" w:type="dxa"/>
          </w:tcPr>
          <w:p w14:paraId="1588602E"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RECOURS AUX TELESERVICES ET TELETRANSMISSION</w:t>
            </w:r>
          </w:p>
        </w:tc>
        <w:tc>
          <w:tcPr>
            <w:tcW w:w="7035" w:type="dxa"/>
            <w:vAlign w:val="center"/>
          </w:tcPr>
          <w:p w14:paraId="2BDE703F" w14:textId="77777777" w:rsidR="00BB5338" w:rsidRDefault="00BB5338" w:rsidP="00BB5338">
            <w:pPr>
              <w:jc w:val="both"/>
              <w:rPr>
                <w:rFonts w:cs="Calibri"/>
                <w:bCs/>
              </w:rPr>
            </w:pPr>
            <w:r>
              <w:rPr>
                <w:rFonts w:cs="Calibri"/>
                <w:bCs/>
              </w:rPr>
              <w:t>Pour les centres de santé polyvalents et médicaux, les taux de recours aux principaux téléservices ont été revus et des taux de recours à l’espace numérique en santé ainsi que l’usage de la e-carte vitale ont été ajoutés.</w:t>
            </w:r>
          </w:p>
        </w:tc>
      </w:tr>
      <w:tr w:rsidR="00BB5338" w14:paraId="4D1BE836" w14:textId="77777777" w:rsidTr="00314E52">
        <w:trPr>
          <w:trHeight w:val="256"/>
        </w:trPr>
        <w:tc>
          <w:tcPr>
            <w:tcW w:w="2802" w:type="dxa"/>
          </w:tcPr>
          <w:p w14:paraId="78E48226"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MISSION SANTE PUBLIQUE</w:t>
            </w:r>
          </w:p>
        </w:tc>
        <w:tc>
          <w:tcPr>
            <w:tcW w:w="7035" w:type="dxa"/>
            <w:vAlign w:val="center"/>
          </w:tcPr>
          <w:p w14:paraId="7161DF0B" w14:textId="77777777" w:rsidR="00BB5338" w:rsidRDefault="00BB5338" w:rsidP="00BB5338">
            <w:pPr>
              <w:jc w:val="both"/>
              <w:rPr>
                <w:rFonts w:cs="Calibri"/>
                <w:bCs/>
              </w:rPr>
            </w:pPr>
            <w:r>
              <w:rPr>
                <w:rFonts w:cs="Calibri"/>
                <w:bCs/>
              </w:rPr>
              <w:t>L’indicateur a été scindé en deux avec :</w:t>
            </w:r>
          </w:p>
          <w:p w14:paraId="52B690EC" w14:textId="77777777" w:rsidR="00BB5338" w:rsidRDefault="00BB5338" w:rsidP="00BB5338">
            <w:pPr>
              <w:pStyle w:val="Paragraphedeliste"/>
              <w:numPr>
                <w:ilvl w:val="0"/>
                <w:numId w:val="2"/>
              </w:numPr>
              <w:spacing w:after="0"/>
              <w:jc w:val="both"/>
              <w:rPr>
                <w:rFonts w:cs="Calibri"/>
                <w:bCs/>
              </w:rPr>
            </w:pPr>
            <w:r>
              <w:rPr>
                <w:rFonts w:cs="Calibri"/>
                <w:bCs/>
              </w:rPr>
              <w:t>u</w:t>
            </w:r>
            <w:r w:rsidRPr="00793006">
              <w:rPr>
                <w:rFonts w:cs="Calibri"/>
                <w:bCs/>
              </w:rPr>
              <w:t xml:space="preserve">n indicateur socle </w:t>
            </w:r>
            <w:r>
              <w:rPr>
                <w:rFonts w:cs="Calibri"/>
                <w:bCs/>
              </w:rPr>
              <w:t>dénommé</w:t>
            </w:r>
            <w:r w:rsidRPr="00793006">
              <w:rPr>
                <w:rFonts w:cs="Calibri"/>
                <w:bCs/>
              </w:rPr>
              <w:t xml:space="preserve"> « relais d’information »</w:t>
            </w:r>
          </w:p>
          <w:p w14:paraId="40E2852D" w14:textId="77777777" w:rsidR="00BB5338" w:rsidRPr="00793006" w:rsidRDefault="00BB5338" w:rsidP="00BB5338">
            <w:pPr>
              <w:pStyle w:val="Paragraphedeliste"/>
              <w:numPr>
                <w:ilvl w:val="0"/>
                <w:numId w:val="2"/>
              </w:numPr>
              <w:spacing w:after="0"/>
              <w:jc w:val="both"/>
              <w:rPr>
                <w:rFonts w:cs="Calibri"/>
                <w:bCs/>
              </w:rPr>
            </w:pPr>
            <w:r w:rsidRPr="00793006">
              <w:rPr>
                <w:rFonts w:cs="Calibri"/>
                <w:bCs/>
              </w:rPr>
              <w:t xml:space="preserve">un indicateur optionnel </w:t>
            </w:r>
            <w:r>
              <w:rPr>
                <w:rFonts w:cs="Calibri"/>
                <w:bCs/>
              </w:rPr>
              <w:t xml:space="preserve">dénommé </w:t>
            </w:r>
            <w:r w:rsidRPr="00793006">
              <w:rPr>
                <w:rFonts w:cs="Calibri"/>
                <w:bCs/>
              </w:rPr>
              <w:t xml:space="preserve">« animation des missions de santé publique » . </w:t>
            </w:r>
          </w:p>
        </w:tc>
      </w:tr>
      <w:tr w:rsidR="00BB5338" w14:paraId="36C50F17" w14:textId="77777777" w:rsidTr="00314E52">
        <w:trPr>
          <w:trHeight w:val="256"/>
        </w:trPr>
        <w:tc>
          <w:tcPr>
            <w:tcW w:w="2802" w:type="dxa"/>
          </w:tcPr>
          <w:p w14:paraId="42A849CA" w14:textId="77777777" w:rsidR="00BB5338" w:rsidRDefault="00BB5338" w:rsidP="00BB5338">
            <w:pPr>
              <w:rPr>
                <w:rFonts w:eastAsia="Times New Roman"/>
                <w:i/>
                <w:iCs/>
                <w:color w:val="000000"/>
                <w:lang w:eastAsia="fr-FR"/>
              </w:rPr>
            </w:pPr>
            <w:r>
              <w:rPr>
                <w:rFonts w:eastAsia="Times New Roman"/>
                <w:i/>
                <w:iCs/>
                <w:color w:val="000000"/>
                <w:lang w:eastAsia="fr-FR"/>
              </w:rPr>
              <w:lastRenderedPageBreak/>
              <w:t>DISPOSITIF DE SCANNERISATION DES ORDONNANCES « SCOR »</w:t>
            </w:r>
          </w:p>
        </w:tc>
        <w:tc>
          <w:tcPr>
            <w:tcW w:w="7035" w:type="dxa"/>
            <w:vAlign w:val="center"/>
          </w:tcPr>
          <w:p w14:paraId="4D23B2FB" w14:textId="77777777" w:rsidR="00BB5338" w:rsidRDefault="00BB5338" w:rsidP="00BB5338">
            <w:pPr>
              <w:jc w:val="both"/>
              <w:rPr>
                <w:rFonts w:cs="Calibri"/>
                <w:bCs/>
              </w:rPr>
            </w:pPr>
            <w:r>
              <w:rPr>
                <w:rFonts w:cs="Calibri"/>
                <w:bCs/>
              </w:rPr>
              <w:t xml:space="preserve">Les modalités de valorisation de l’indicateur ont été révisées pour les centres de santé médicaux, polyvalents et infirmiers. </w:t>
            </w:r>
          </w:p>
          <w:p w14:paraId="6D9636E6" w14:textId="77777777" w:rsidR="00BB5338" w:rsidRDefault="00BB5338" w:rsidP="00BB5338">
            <w:pPr>
              <w:jc w:val="both"/>
              <w:rPr>
                <w:rFonts w:cs="Calibri"/>
                <w:bCs/>
              </w:rPr>
            </w:pPr>
          </w:p>
        </w:tc>
      </w:tr>
    </w:tbl>
    <w:p w14:paraId="40E0B0CF" w14:textId="77777777" w:rsidR="00BB5338" w:rsidRDefault="00BB5338"/>
    <w:tbl>
      <w:tblPr>
        <w:tblStyle w:val="Grilledutableau"/>
        <w:tblW w:w="9889" w:type="dxa"/>
        <w:tblLook w:val="04A0" w:firstRow="1" w:lastRow="0" w:firstColumn="1" w:lastColumn="0" w:noHBand="0" w:noVBand="1"/>
      </w:tblPr>
      <w:tblGrid>
        <w:gridCol w:w="2802"/>
        <w:gridCol w:w="7087"/>
      </w:tblGrid>
      <w:tr w:rsidR="00BB5338" w14:paraId="1EF12A20" w14:textId="77777777" w:rsidTr="00BB5338">
        <w:tc>
          <w:tcPr>
            <w:tcW w:w="9889" w:type="dxa"/>
            <w:gridSpan w:val="2"/>
          </w:tcPr>
          <w:p w14:paraId="06EBCBAC" w14:textId="77777777" w:rsidR="00BB5338" w:rsidRPr="00BB5338" w:rsidRDefault="00BB5338" w:rsidP="00BB5338">
            <w:pPr>
              <w:jc w:val="center"/>
              <w:rPr>
                <w:b/>
              </w:rPr>
            </w:pPr>
            <w:r w:rsidRPr="00BB5338">
              <w:rPr>
                <w:b/>
              </w:rPr>
              <w:t>NOUVEAUX INDICATEURS</w:t>
            </w:r>
          </w:p>
        </w:tc>
      </w:tr>
      <w:tr w:rsidR="00BB5338" w14:paraId="7A883678" w14:textId="77777777" w:rsidTr="00BB5338">
        <w:tc>
          <w:tcPr>
            <w:tcW w:w="2802" w:type="dxa"/>
          </w:tcPr>
          <w:p w14:paraId="24E9E0A6" w14:textId="77777777" w:rsidR="00BB5338" w:rsidRPr="00127351" w:rsidRDefault="00BB5338" w:rsidP="00BB5338">
            <w:pPr>
              <w:rPr>
                <w:rFonts w:eastAsia="Times New Roman"/>
                <w:color w:val="000000"/>
                <w:lang w:eastAsia="fr-FR"/>
              </w:rPr>
            </w:pPr>
            <w:r w:rsidRPr="00127351">
              <w:rPr>
                <w:rFonts w:eastAsia="Times New Roman"/>
                <w:i/>
                <w:iCs/>
                <w:color w:val="000000"/>
                <w:lang w:eastAsia="fr-FR"/>
              </w:rPr>
              <w:t>INSTALLATION EN ZONE DEFICITAIRE</w:t>
            </w:r>
          </w:p>
        </w:tc>
        <w:tc>
          <w:tcPr>
            <w:tcW w:w="7087" w:type="dxa"/>
            <w:vAlign w:val="center"/>
          </w:tcPr>
          <w:p w14:paraId="3B5BFDAC"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Pour les centres de santé médicaux, polyvalents et infirmiers cet indicateur remplace les contrats d’aide à l’installation précédemment existants. Une aide sera automatiquement calculée pour les centres de santé installés dans une zone déficitaire pour l’une de ses professions concernées.</w:t>
            </w:r>
          </w:p>
          <w:p w14:paraId="531F8042" w14:textId="77777777" w:rsidR="00BB5338" w:rsidRPr="004D67E8" w:rsidRDefault="00BB5338" w:rsidP="00BB5338">
            <w:pPr>
              <w:jc w:val="both"/>
            </w:pPr>
            <w:r>
              <w:t>Les centres de santé dentaires ne sont pas concernés.</w:t>
            </w:r>
          </w:p>
        </w:tc>
      </w:tr>
      <w:tr w:rsidR="00BB5338" w14:paraId="2B7B6B2B" w14:textId="77777777" w:rsidTr="00BB5338">
        <w:tc>
          <w:tcPr>
            <w:tcW w:w="2802" w:type="dxa"/>
          </w:tcPr>
          <w:p w14:paraId="569E9945"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MAINTIE</w:t>
            </w:r>
            <w:r w:rsidRPr="00127351">
              <w:rPr>
                <w:rFonts w:eastAsia="Times New Roman"/>
                <w:i/>
                <w:iCs/>
                <w:color w:val="000000"/>
                <w:lang w:eastAsia="fr-FR"/>
              </w:rPr>
              <w:t>N EN ZONE DEFICITAIRE</w:t>
            </w:r>
          </w:p>
        </w:tc>
        <w:tc>
          <w:tcPr>
            <w:tcW w:w="7087" w:type="dxa"/>
            <w:vAlign w:val="center"/>
          </w:tcPr>
          <w:p w14:paraId="1D6AD9B0"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Pour les centres de santé médicaux, polyvalents et infirmiers cet indicateur remplace les contrats d’aide au maintien précédemment existants. Une aide sera automatiquement calculée pour les centres de santé installés dans une zone déficitaire pour l’une de ses professions concernées.</w:t>
            </w:r>
          </w:p>
          <w:p w14:paraId="272E04D0" w14:textId="77777777" w:rsidR="00BB5338" w:rsidRPr="00FD5B44" w:rsidRDefault="00BB5338" w:rsidP="00BB5338">
            <w:pPr>
              <w:jc w:val="both"/>
            </w:pPr>
            <w:r>
              <w:t>Les centres de santé dentaires ne sont pas concernés.</w:t>
            </w:r>
          </w:p>
        </w:tc>
      </w:tr>
      <w:tr w:rsidR="00BB5338" w14:paraId="17B08C17" w14:textId="77777777" w:rsidTr="00BB5338">
        <w:tc>
          <w:tcPr>
            <w:tcW w:w="2802" w:type="dxa"/>
          </w:tcPr>
          <w:p w14:paraId="38CB0EAA" w14:textId="77777777" w:rsidR="00BB5338" w:rsidRPr="00127351" w:rsidRDefault="00BB5338" w:rsidP="00BB5338">
            <w:pPr>
              <w:rPr>
                <w:rFonts w:eastAsia="Times New Roman"/>
                <w:i/>
                <w:iCs/>
                <w:color w:val="000000"/>
                <w:lang w:eastAsia="fr-FR"/>
              </w:rPr>
            </w:pPr>
            <w:r>
              <w:rPr>
                <w:rFonts w:eastAsia="Times New Roman"/>
                <w:i/>
                <w:iCs/>
                <w:color w:val="000000"/>
                <w:lang w:eastAsia="fr-FR"/>
              </w:rPr>
              <w:t>PATIENTELE ALD COMMUNE</w:t>
            </w:r>
          </w:p>
        </w:tc>
        <w:tc>
          <w:tcPr>
            <w:tcW w:w="7087" w:type="dxa"/>
            <w:vAlign w:val="center"/>
          </w:tcPr>
          <w:p w14:paraId="60FE5284"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Le nouvel accord national intègre une valorisation spécifique pour les centres de santé médicaux/polyvalents ayant une coordination renforcée autour de la patientèle ALD. </w:t>
            </w:r>
          </w:p>
        </w:tc>
      </w:tr>
      <w:tr w:rsidR="00BB5338" w14:paraId="0AA1F5F6" w14:textId="77777777" w:rsidTr="00BB5338">
        <w:tc>
          <w:tcPr>
            <w:tcW w:w="2802" w:type="dxa"/>
          </w:tcPr>
          <w:p w14:paraId="6AFB04AD" w14:textId="77777777" w:rsidR="00BB5338" w:rsidRDefault="00BB5338" w:rsidP="00BB5338">
            <w:pPr>
              <w:rPr>
                <w:rFonts w:eastAsia="Times New Roman"/>
                <w:i/>
                <w:iCs/>
                <w:color w:val="000000"/>
                <w:lang w:eastAsia="fr-FR"/>
              </w:rPr>
            </w:pPr>
            <w:r>
              <w:rPr>
                <w:rFonts w:eastAsia="Times New Roman"/>
                <w:i/>
                <w:iCs/>
                <w:color w:val="000000"/>
                <w:lang w:eastAsia="fr-FR"/>
              </w:rPr>
              <w:t>SANTE ENVIRONNEMENTALE</w:t>
            </w:r>
          </w:p>
        </w:tc>
        <w:tc>
          <w:tcPr>
            <w:tcW w:w="7087" w:type="dxa"/>
            <w:vAlign w:val="center"/>
          </w:tcPr>
          <w:p w14:paraId="3AEF5523"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Ce nouvel indicateur vise à instaurer ou renforcer une dynamique en faveur de l’amélioration de la santé environnementale.</w:t>
            </w:r>
          </w:p>
        </w:tc>
      </w:tr>
    </w:tbl>
    <w:p w14:paraId="02659478" w14:textId="77777777" w:rsidR="00BB5338" w:rsidRDefault="00BB5338"/>
    <w:tbl>
      <w:tblPr>
        <w:tblStyle w:val="Grilledutableau"/>
        <w:tblW w:w="9889" w:type="dxa"/>
        <w:tblLook w:val="04A0" w:firstRow="1" w:lastRow="0" w:firstColumn="1" w:lastColumn="0" w:noHBand="0" w:noVBand="1"/>
      </w:tblPr>
      <w:tblGrid>
        <w:gridCol w:w="2802"/>
        <w:gridCol w:w="7087"/>
      </w:tblGrid>
      <w:tr w:rsidR="00BB5338" w14:paraId="500901A4" w14:textId="77777777" w:rsidTr="00BB5338">
        <w:tc>
          <w:tcPr>
            <w:tcW w:w="9889" w:type="dxa"/>
            <w:gridSpan w:val="2"/>
          </w:tcPr>
          <w:p w14:paraId="0DFD789E" w14:textId="77777777" w:rsidR="00BB5338" w:rsidRDefault="00BB5338" w:rsidP="00BB5338">
            <w:pPr>
              <w:jc w:val="center"/>
            </w:pPr>
            <w:r w:rsidRPr="00BB5338">
              <w:rPr>
                <w:b/>
              </w:rPr>
              <w:t>INDICATEURS SUPPRIMES</w:t>
            </w:r>
          </w:p>
        </w:tc>
      </w:tr>
      <w:tr w:rsidR="00BB5338" w14:paraId="49BABC22" w14:textId="77777777" w:rsidTr="00BB5338">
        <w:tc>
          <w:tcPr>
            <w:tcW w:w="2802" w:type="dxa"/>
          </w:tcPr>
          <w:p w14:paraId="0490E2EC" w14:textId="77777777" w:rsidR="00BB5338" w:rsidRPr="00127351" w:rsidRDefault="00BB5338" w:rsidP="00BB5338">
            <w:pPr>
              <w:rPr>
                <w:rFonts w:eastAsia="Times New Roman"/>
                <w:color w:val="000000"/>
                <w:lang w:eastAsia="fr-FR"/>
              </w:rPr>
            </w:pPr>
            <w:r>
              <w:rPr>
                <w:rFonts w:eastAsia="Times New Roman"/>
                <w:i/>
                <w:iCs/>
                <w:color w:val="000000"/>
                <w:lang w:eastAsia="fr-FR"/>
              </w:rPr>
              <w:t>RCP</w:t>
            </w:r>
          </w:p>
        </w:tc>
        <w:tc>
          <w:tcPr>
            <w:tcW w:w="7087" w:type="dxa"/>
            <w:vAlign w:val="center"/>
          </w:tcPr>
          <w:p w14:paraId="455E3241" w14:textId="77777777" w:rsidR="00BB5338" w:rsidRPr="00A80257"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Les réunions de concertation pluri-professionnelles font partie de l’essence même de la coordination entre professionnels de santé exerçant en centre de santé et elles se retrouvent dans l’indicateur fonction de coordination rénové.</w:t>
            </w:r>
          </w:p>
        </w:tc>
      </w:tr>
      <w:tr w:rsidR="00BB5338" w14:paraId="26676479" w14:textId="77777777" w:rsidTr="00BB5338">
        <w:tc>
          <w:tcPr>
            <w:tcW w:w="2802" w:type="dxa"/>
          </w:tcPr>
          <w:p w14:paraId="1BD039FF" w14:textId="77777777" w:rsidR="00BB5338" w:rsidRDefault="00BB5338" w:rsidP="00BB5338">
            <w:pPr>
              <w:rPr>
                <w:rFonts w:eastAsia="Times New Roman"/>
                <w:i/>
                <w:iCs/>
                <w:color w:val="000000"/>
                <w:lang w:eastAsia="fr-FR"/>
              </w:rPr>
            </w:pPr>
            <w:r>
              <w:rPr>
                <w:rFonts w:eastAsia="Times New Roman"/>
                <w:i/>
                <w:iCs/>
                <w:color w:val="000000"/>
                <w:lang w:eastAsia="fr-FR"/>
              </w:rPr>
              <w:t>COORDINATION EXTERNE</w:t>
            </w:r>
          </w:p>
        </w:tc>
        <w:tc>
          <w:tcPr>
            <w:tcW w:w="7087" w:type="dxa"/>
            <w:vAlign w:val="center"/>
          </w:tcPr>
          <w:p w14:paraId="1E4DB6B8" w14:textId="615036B9" w:rsidR="00BB5338" w:rsidRDefault="00BB5338" w:rsidP="00872879">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L’ancien indicateur coordination externe a été réintroduit dans les missions de la fonction de coordination pour les centres de santé médicaux/polyvalents. </w:t>
            </w:r>
            <w:r w:rsidR="00872879">
              <w:rPr>
                <w:rFonts w:eastAsia="Calibri" w:cs="Calibri"/>
                <w:b w:val="0"/>
                <w:color w:val="auto"/>
                <w:sz w:val="22"/>
                <w:szCs w:val="22"/>
              </w:rPr>
              <w:t>L</w:t>
            </w:r>
            <w:r>
              <w:rPr>
                <w:rFonts w:eastAsia="Calibri" w:cs="Calibri"/>
                <w:b w:val="0"/>
                <w:color w:val="auto"/>
                <w:sz w:val="22"/>
                <w:szCs w:val="22"/>
              </w:rPr>
              <w:t xml:space="preserve">es centres de santé infirmiers </w:t>
            </w:r>
            <w:r w:rsidR="00872879">
              <w:rPr>
                <w:rFonts w:eastAsia="Calibri" w:cs="Calibri"/>
                <w:b w:val="0"/>
                <w:color w:val="auto"/>
                <w:sz w:val="22"/>
                <w:szCs w:val="22"/>
              </w:rPr>
              <w:t xml:space="preserve">et dentaires </w:t>
            </w:r>
            <w:r>
              <w:rPr>
                <w:rFonts w:eastAsia="Calibri" w:cs="Calibri"/>
                <w:b w:val="0"/>
                <w:color w:val="auto"/>
                <w:sz w:val="22"/>
                <w:szCs w:val="22"/>
              </w:rPr>
              <w:t xml:space="preserve">conservent un indicateur (optionnel) distinct sur la mission de coordination dite « externe ». </w:t>
            </w:r>
          </w:p>
        </w:tc>
      </w:tr>
      <w:tr w:rsidR="00BB5338" w14:paraId="6AC0E19B" w14:textId="77777777" w:rsidTr="00BB5338">
        <w:tc>
          <w:tcPr>
            <w:tcW w:w="2802" w:type="dxa"/>
          </w:tcPr>
          <w:p w14:paraId="67862F33" w14:textId="77777777" w:rsidR="00BB5338" w:rsidRDefault="00BB5338" w:rsidP="00BB5338">
            <w:pPr>
              <w:rPr>
                <w:rFonts w:eastAsia="Times New Roman"/>
                <w:i/>
                <w:iCs/>
                <w:color w:val="000000"/>
                <w:lang w:eastAsia="fr-FR"/>
              </w:rPr>
            </w:pPr>
            <w:r>
              <w:rPr>
                <w:rFonts w:eastAsia="Times New Roman"/>
                <w:i/>
                <w:iCs/>
                <w:color w:val="000000"/>
                <w:lang w:eastAsia="fr-FR"/>
              </w:rPr>
              <w:t xml:space="preserve">CSTM </w:t>
            </w:r>
          </w:p>
        </w:tc>
        <w:tc>
          <w:tcPr>
            <w:tcW w:w="7087" w:type="dxa"/>
            <w:vAlign w:val="center"/>
          </w:tcPr>
          <w:p w14:paraId="21CDAF0A"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Indicateur supprimé. </w:t>
            </w:r>
          </w:p>
        </w:tc>
      </w:tr>
      <w:tr w:rsidR="00BB5338" w14:paraId="5A31F490" w14:textId="77777777" w:rsidTr="00BB5338">
        <w:tc>
          <w:tcPr>
            <w:tcW w:w="2802" w:type="dxa"/>
          </w:tcPr>
          <w:p w14:paraId="049BE263" w14:textId="77777777" w:rsidR="00BB5338" w:rsidRDefault="00BB5338" w:rsidP="00BB5338">
            <w:pPr>
              <w:rPr>
                <w:rFonts w:eastAsia="Times New Roman"/>
                <w:i/>
                <w:iCs/>
                <w:color w:val="000000"/>
                <w:lang w:eastAsia="fr-FR"/>
              </w:rPr>
            </w:pPr>
            <w:r>
              <w:rPr>
                <w:rFonts w:eastAsia="Times New Roman"/>
                <w:i/>
                <w:iCs/>
                <w:color w:val="000000"/>
                <w:lang w:eastAsia="fr-FR"/>
              </w:rPr>
              <w:t>SNP LIEN SAS</w:t>
            </w:r>
          </w:p>
        </w:tc>
        <w:tc>
          <w:tcPr>
            <w:tcW w:w="7087" w:type="dxa"/>
            <w:vAlign w:val="center"/>
          </w:tcPr>
          <w:p w14:paraId="6B4892BB"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 xml:space="preserve">Indicateur supprimé. </w:t>
            </w:r>
          </w:p>
        </w:tc>
      </w:tr>
      <w:tr w:rsidR="00BB5338" w14:paraId="572F038E" w14:textId="77777777" w:rsidTr="00BB5338">
        <w:tc>
          <w:tcPr>
            <w:tcW w:w="2802" w:type="dxa"/>
          </w:tcPr>
          <w:p w14:paraId="4980100E" w14:textId="77777777" w:rsidR="00BB5338" w:rsidRDefault="00BB5338" w:rsidP="00BB5338">
            <w:pPr>
              <w:rPr>
                <w:rFonts w:eastAsia="Times New Roman"/>
                <w:i/>
                <w:iCs/>
                <w:color w:val="000000"/>
                <w:lang w:eastAsia="fr-FR"/>
              </w:rPr>
            </w:pPr>
            <w:r>
              <w:rPr>
                <w:rFonts w:eastAsia="Times New Roman"/>
                <w:i/>
                <w:iCs/>
                <w:color w:val="000000"/>
                <w:lang w:eastAsia="fr-FR"/>
              </w:rPr>
              <w:t>PROTOCOLE SNP</w:t>
            </w:r>
          </w:p>
        </w:tc>
        <w:tc>
          <w:tcPr>
            <w:tcW w:w="7087" w:type="dxa"/>
            <w:vAlign w:val="center"/>
          </w:tcPr>
          <w:p w14:paraId="50F4B776"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w:t>
            </w:r>
          </w:p>
        </w:tc>
      </w:tr>
      <w:tr w:rsidR="00BB5338" w14:paraId="489415BB" w14:textId="77777777" w:rsidTr="00BB5338">
        <w:tc>
          <w:tcPr>
            <w:tcW w:w="2802" w:type="dxa"/>
          </w:tcPr>
          <w:p w14:paraId="41A848AF" w14:textId="77777777" w:rsidR="00BB5338" w:rsidRDefault="00BB5338" w:rsidP="00BB5338">
            <w:pPr>
              <w:rPr>
                <w:rFonts w:eastAsia="Times New Roman"/>
                <w:i/>
                <w:iCs/>
                <w:color w:val="000000"/>
                <w:lang w:eastAsia="fr-FR"/>
              </w:rPr>
            </w:pPr>
            <w:r>
              <w:rPr>
                <w:rFonts w:eastAsia="Times New Roman"/>
                <w:i/>
                <w:iCs/>
                <w:color w:val="000000"/>
                <w:lang w:eastAsia="fr-FR"/>
              </w:rPr>
              <w:t>PROTOCOLE IC</w:t>
            </w:r>
          </w:p>
        </w:tc>
        <w:tc>
          <w:tcPr>
            <w:tcW w:w="7087" w:type="dxa"/>
            <w:vAlign w:val="center"/>
          </w:tcPr>
          <w:p w14:paraId="6FF94334"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 de la rémunération forfaitaire spécifique des centres de santé mais qui sera réétudié dans le cadre du futur ITAOS (cf point 7).</w:t>
            </w:r>
          </w:p>
        </w:tc>
      </w:tr>
      <w:tr w:rsidR="00BB5338" w14:paraId="71D9C88A" w14:textId="77777777" w:rsidTr="00BB5338">
        <w:tc>
          <w:tcPr>
            <w:tcW w:w="2802" w:type="dxa"/>
          </w:tcPr>
          <w:p w14:paraId="741279E0" w14:textId="77777777" w:rsidR="00BB5338" w:rsidRDefault="00BB5338" w:rsidP="00BB5338">
            <w:pPr>
              <w:rPr>
                <w:rFonts w:eastAsia="Times New Roman"/>
                <w:i/>
                <w:iCs/>
                <w:color w:val="000000"/>
                <w:lang w:eastAsia="fr-FR"/>
              </w:rPr>
            </w:pPr>
            <w:r>
              <w:rPr>
                <w:rFonts w:eastAsia="Times New Roman"/>
                <w:i/>
                <w:iCs/>
                <w:color w:val="000000"/>
                <w:lang w:eastAsia="fr-FR"/>
              </w:rPr>
              <w:lastRenderedPageBreak/>
              <w:t>MRTC</w:t>
            </w:r>
          </w:p>
        </w:tc>
        <w:tc>
          <w:tcPr>
            <w:tcW w:w="7087" w:type="dxa"/>
            <w:vAlign w:val="center"/>
          </w:tcPr>
          <w:p w14:paraId="03DA8981"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 de la rémunération forfaitaire spécifique des centres de santé mais qui sera réétudié dans le cadre du futur ITAOS (cf point 7).</w:t>
            </w:r>
          </w:p>
        </w:tc>
      </w:tr>
      <w:tr w:rsidR="00BB5338" w14:paraId="3780E911" w14:textId="77777777" w:rsidTr="00BB5338">
        <w:tc>
          <w:tcPr>
            <w:tcW w:w="2802" w:type="dxa"/>
          </w:tcPr>
          <w:p w14:paraId="4AEF5C8E" w14:textId="77777777" w:rsidR="00BB5338" w:rsidRDefault="00BB5338" w:rsidP="00BB5338">
            <w:pPr>
              <w:rPr>
                <w:rFonts w:eastAsia="Times New Roman"/>
                <w:i/>
                <w:iCs/>
                <w:color w:val="000000"/>
                <w:lang w:eastAsia="fr-FR"/>
              </w:rPr>
            </w:pPr>
            <w:r>
              <w:rPr>
                <w:rFonts w:eastAsia="Times New Roman"/>
                <w:i/>
                <w:iCs/>
                <w:color w:val="000000"/>
                <w:lang w:eastAsia="fr-FR"/>
              </w:rPr>
              <w:t>JUSTIFICATIF UTILISATION TLS</w:t>
            </w:r>
          </w:p>
        </w:tc>
        <w:tc>
          <w:tcPr>
            <w:tcW w:w="7087" w:type="dxa"/>
            <w:vAlign w:val="center"/>
          </w:tcPr>
          <w:p w14:paraId="5BBE8854"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w:t>
            </w:r>
          </w:p>
        </w:tc>
      </w:tr>
      <w:tr w:rsidR="00BB5338" w14:paraId="0B336A99" w14:textId="77777777" w:rsidTr="00BB5338">
        <w:tc>
          <w:tcPr>
            <w:tcW w:w="2802" w:type="dxa"/>
          </w:tcPr>
          <w:p w14:paraId="6779EFE4" w14:textId="77777777" w:rsidR="00BB5338" w:rsidRDefault="00BB5338" w:rsidP="00BB5338">
            <w:pPr>
              <w:rPr>
                <w:rFonts w:eastAsia="Times New Roman"/>
                <w:i/>
                <w:iCs/>
                <w:color w:val="000000"/>
                <w:lang w:eastAsia="fr-FR"/>
              </w:rPr>
            </w:pPr>
            <w:r w:rsidRPr="00127351">
              <w:rPr>
                <w:rFonts w:eastAsia="Times New Roman"/>
                <w:i/>
                <w:iCs/>
                <w:color w:val="000000"/>
                <w:lang w:eastAsia="fr-FR"/>
              </w:rPr>
              <w:t>VIDEOTRANSMISSION CONNECTE</w:t>
            </w:r>
          </w:p>
        </w:tc>
        <w:tc>
          <w:tcPr>
            <w:tcW w:w="7087" w:type="dxa"/>
            <w:vAlign w:val="center"/>
          </w:tcPr>
          <w:p w14:paraId="4BF4D8F1"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w:t>
            </w:r>
          </w:p>
        </w:tc>
      </w:tr>
      <w:tr w:rsidR="00BB5338" w14:paraId="698C7B93" w14:textId="77777777" w:rsidTr="00BB5338">
        <w:tc>
          <w:tcPr>
            <w:tcW w:w="2802" w:type="dxa"/>
          </w:tcPr>
          <w:p w14:paraId="4E8D2947" w14:textId="77777777" w:rsidR="00BB5338" w:rsidRPr="00127351" w:rsidRDefault="00BB5338" w:rsidP="00BB5338">
            <w:pPr>
              <w:rPr>
                <w:rFonts w:eastAsia="Times New Roman"/>
                <w:i/>
                <w:iCs/>
                <w:color w:val="000000"/>
                <w:lang w:eastAsia="fr-FR"/>
              </w:rPr>
            </w:pPr>
            <w:r w:rsidRPr="00127351">
              <w:rPr>
                <w:rFonts w:eastAsia="Times New Roman"/>
                <w:i/>
                <w:iCs/>
                <w:color w:val="000000"/>
                <w:lang w:eastAsia="fr-FR"/>
              </w:rPr>
              <w:t>EQUIPEMENT CONNECTE</w:t>
            </w:r>
          </w:p>
        </w:tc>
        <w:tc>
          <w:tcPr>
            <w:tcW w:w="7087" w:type="dxa"/>
            <w:vAlign w:val="center"/>
          </w:tcPr>
          <w:p w14:paraId="18755D64"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L’indicateur équipements médicaux connectés a été supprimés. Mais celui-ci demeure pour les centres de santé infirmiers.</w:t>
            </w:r>
          </w:p>
        </w:tc>
      </w:tr>
      <w:tr w:rsidR="00BB5338" w14:paraId="581E1F20" w14:textId="77777777" w:rsidTr="00BB5338">
        <w:tc>
          <w:tcPr>
            <w:tcW w:w="2802" w:type="dxa"/>
          </w:tcPr>
          <w:p w14:paraId="4D6DA3B9" w14:textId="77777777" w:rsidR="00BB5338" w:rsidRPr="00127351" w:rsidRDefault="00BB5338" w:rsidP="00BB5338">
            <w:pPr>
              <w:rPr>
                <w:rFonts w:eastAsia="Times New Roman"/>
                <w:i/>
                <w:iCs/>
                <w:color w:val="000000"/>
                <w:lang w:eastAsia="fr-FR"/>
              </w:rPr>
            </w:pPr>
            <w:r w:rsidRPr="00127351">
              <w:rPr>
                <w:rFonts w:eastAsia="Times New Roman"/>
                <w:i/>
                <w:iCs/>
                <w:color w:val="000000"/>
                <w:lang w:eastAsia="fr-FR"/>
              </w:rPr>
              <w:t>CAPACITE A CODER LES DONNEES</w:t>
            </w:r>
          </w:p>
        </w:tc>
        <w:tc>
          <w:tcPr>
            <w:tcW w:w="7087" w:type="dxa"/>
            <w:vAlign w:val="center"/>
          </w:tcPr>
          <w:p w14:paraId="022ECA93" w14:textId="77777777" w:rsidR="00BB5338" w:rsidRDefault="00BB5338" w:rsidP="00BB5338">
            <w:pPr>
              <w:pStyle w:val="Titre2"/>
              <w:numPr>
                <w:ilvl w:val="0"/>
                <w:numId w:val="0"/>
              </w:numPr>
              <w:jc w:val="both"/>
              <w:outlineLvl w:val="1"/>
              <w:rPr>
                <w:rFonts w:eastAsia="Calibri" w:cs="Calibri"/>
                <w:b w:val="0"/>
                <w:color w:val="auto"/>
                <w:sz w:val="22"/>
                <w:szCs w:val="22"/>
              </w:rPr>
            </w:pPr>
            <w:r>
              <w:rPr>
                <w:rFonts w:eastAsia="Calibri" w:cs="Calibri"/>
                <w:b w:val="0"/>
                <w:color w:val="auto"/>
                <w:sz w:val="22"/>
                <w:szCs w:val="22"/>
              </w:rPr>
              <w:t>Indicateur supprimé.</w:t>
            </w:r>
          </w:p>
        </w:tc>
      </w:tr>
    </w:tbl>
    <w:p w14:paraId="169CF189" w14:textId="77777777" w:rsidR="00BB5338" w:rsidRDefault="00BB5338"/>
    <w:sectPr w:rsidR="00BB533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20FE97" w16cex:dateUtc="2025-11-14T17:57:00Z"/>
  <w16cex:commentExtensible w16cex:durableId="2DC0C3D7" w16cex:dateUtc="2025-11-14T17:55:00Z"/>
  <w16cex:commentExtensible w16cex:durableId="772A722B" w16cex:dateUtc="2025-11-14T18:03:00Z"/>
  <w16cex:commentExtensible w16cex:durableId="031ACAC5" w16cex:dateUtc="2025-11-14T18:04:00Z"/>
  <w16cex:commentExtensible w16cex:durableId="743A7959" w16cex:dateUtc="2025-11-14T18:05:00Z"/>
  <w16cex:commentExtensible w16cex:durableId="2DB56C1D" w16cex:dateUtc="2025-11-14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2EA18" w16cid:durableId="7720FE97"/>
  <w16cid:commentId w16cid:paraId="2337468E" w16cid:durableId="2DC0C3D7"/>
  <w16cid:commentId w16cid:paraId="6DCF994A" w16cid:durableId="772A722B"/>
  <w16cid:commentId w16cid:paraId="11D4E7F6" w16cid:durableId="031ACAC5"/>
  <w16cid:commentId w16cid:paraId="67980A81" w16cid:durableId="743A7959"/>
  <w16cid:commentId w16cid:paraId="70CEE12D" w16cid:durableId="2DB56C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A39"/>
    <w:multiLevelType w:val="hybridMultilevel"/>
    <w:tmpl w:val="5838BF86"/>
    <w:lvl w:ilvl="0" w:tplc="6E4CD7A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A0296C"/>
    <w:multiLevelType w:val="hybridMultilevel"/>
    <w:tmpl w:val="3D2E7320"/>
    <w:lvl w:ilvl="0" w:tplc="7E3672D8">
      <w:start w:val="1"/>
      <w:numFmt w:val="decimal"/>
      <w:pStyle w:val="Titr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73752004"/>
    <w:multiLevelType w:val="hybridMultilevel"/>
    <w:tmpl w:val="E3B4322C"/>
    <w:lvl w:ilvl="0" w:tplc="9CA29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38"/>
    <w:rsid w:val="000F34C5"/>
    <w:rsid w:val="0037483E"/>
    <w:rsid w:val="00400ABC"/>
    <w:rsid w:val="0049714F"/>
    <w:rsid w:val="004F3F12"/>
    <w:rsid w:val="00565F0C"/>
    <w:rsid w:val="005D003C"/>
    <w:rsid w:val="0060791C"/>
    <w:rsid w:val="00872879"/>
    <w:rsid w:val="00A86E3A"/>
    <w:rsid w:val="00AA2CBE"/>
    <w:rsid w:val="00B21FBB"/>
    <w:rsid w:val="00BB5338"/>
    <w:rsid w:val="00BF5205"/>
    <w:rsid w:val="00C27B18"/>
    <w:rsid w:val="00CB4EB1"/>
    <w:rsid w:val="00E3129B"/>
    <w:rsid w:val="00EA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CEC3"/>
  <w15:chartTrackingRefBased/>
  <w15:docId w15:val="{40A44EAD-A539-4E68-90B9-57D5A5D3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BB5338"/>
    <w:pPr>
      <w:keepNext/>
      <w:keepLines/>
      <w:numPr>
        <w:numId w:val="1"/>
      </w:numPr>
      <w:spacing w:before="200" w:after="120"/>
      <w:ind w:left="924" w:hanging="357"/>
      <w:outlineLvl w:val="1"/>
    </w:pPr>
    <w:rPr>
      <w:rFonts w:ascii="Calibri" w:eastAsiaTheme="majorEastAsia" w:hAnsi="Calibri" w:cstheme="majorBidi"/>
      <w:b/>
      <w:bCs/>
      <w:color w:val="00206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B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B5338"/>
    <w:rPr>
      <w:rFonts w:ascii="Calibri" w:eastAsiaTheme="majorEastAsia" w:hAnsi="Calibri" w:cstheme="majorBidi"/>
      <w:b/>
      <w:bCs/>
      <w:color w:val="002060"/>
      <w:sz w:val="26"/>
      <w:szCs w:val="26"/>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Bullet Niv 1"/>
    <w:basedOn w:val="Normal"/>
    <w:link w:val="ParagraphedelisteCar"/>
    <w:uiPriority w:val="34"/>
    <w:qFormat/>
    <w:rsid w:val="00BB5338"/>
    <w:pPr>
      <w:spacing w:before="120" w:after="120" w:line="240" w:lineRule="auto"/>
      <w:ind w:left="720"/>
      <w:contextualSpacing/>
    </w:pPr>
    <w:rPr>
      <w:rFonts w:ascii="Calibri" w:eastAsia="Calibri" w:hAnsi="Calibri" w:cs="Arial"/>
    </w:rPr>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locked/>
    <w:rsid w:val="00BB5338"/>
    <w:rPr>
      <w:rFonts w:ascii="Calibri" w:eastAsia="Calibri" w:hAnsi="Calibri" w:cs="Arial"/>
    </w:rPr>
  </w:style>
  <w:style w:type="paragraph" w:styleId="Rvision">
    <w:name w:val="Revision"/>
    <w:hidden/>
    <w:uiPriority w:val="99"/>
    <w:semiHidden/>
    <w:rsid w:val="00A86E3A"/>
    <w:pPr>
      <w:spacing w:after="0" w:line="240" w:lineRule="auto"/>
    </w:pPr>
  </w:style>
  <w:style w:type="character" w:styleId="Marquedecommentaire">
    <w:name w:val="annotation reference"/>
    <w:basedOn w:val="Policepardfaut"/>
    <w:uiPriority w:val="99"/>
    <w:semiHidden/>
    <w:unhideWhenUsed/>
    <w:rsid w:val="00A86E3A"/>
    <w:rPr>
      <w:sz w:val="16"/>
      <w:szCs w:val="16"/>
    </w:rPr>
  </w:style>
  <w:style w:type="paragraph" w:styleId="Commentaire">
    <w:name w:val="annotation text"/>
    <w:basedOn w:val="Normal"/>
    <w:link w:val="CommentaireCar"/>
    <w:uiPriority w:val="99"/>
    <w:unhideWhenUsed/>
    <w:rsid w:val="00A86E3A"/>
    <w:pPr>
      <w:spacing w:line="240" w:lineRule="auto"/>
    </w:pPr>
    <w:rPr>
      <w:sz w:val="20"/>
      <w:szCs w:val="20"/>
    </w:rPr>
  </w:style>
  <w:style w:type="character" w:customStyle="1" w:styleId="CommentaireCar">
    <w:name w:val="Commentaire Car"/>
    <w:basedOn w:val="Policepardfaut"/>
    <w:link w:val="Commentaire"/>
    <w:uiPriority w:val="99"/>
    <w:rsid w:val="00A86E3A"/>
    <w:rPr>
      <w:sz w:val="20"/>
      <w:szCs w:val="20"/>
    </w:rPr>
  </w:style>
  <w:style w:type="paragraph" w:styleId="Objetducommentaire">
    <w:name w:val="annotation subject"/>
    <w:basedOn w:val="Commentaire"/>
    <w:next w:val="Commentaire"/>
    <w:link w:val="ObjetducommentaireCar"/>
    <w:uiPriority w:val="99"/>
    <w:semiHidden/>
    <w:unhideWhenUsed/>
    <w:rsid w:val="00A86E3A"/>
    <w:rPr>
      <w:b/>
      <w:bCs/>
    </w:rPr>
  </w:style>
  <w:style w:type="character" w:customStyle="1" w:styleId="ObjetducommentaireCar">
    <w:name w:val="Objet du commentaire Car"/>
    <w:basedOn w:val="CommentaireCar"/>
    <w:link w:val="Objetducommentaire"/>
    <w:uiPriority w:val="99"/>
    <w:semiHidden/>
    <w:rsid w:val="00A86E3A"/>
    <w:rPr>
      <w:b/>
      <w:bCs/>
      <w:sz w:val="20"/>
      <w:szCs w:val="20"/>
    </w:rPr>
  </w:style>
  <w:style w:type="paragraph" w:styleId="Textedebulles">
    <w:name w:val="Balloon Text"/>
    <w:basedOn w:val="Normal"/>
    <w:link w:val="TextedebullesCar"/>
    <w:uiPriority w:val="99"/>
    <w:semiHidden/>
    <w:unhideWhenUsed/>
    <w:rsid w:val="008728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2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837</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Clémentine Robert-Vignes (CNAM / Paris)</dc:creator>
  <cp:keywords/>
  <dc:description/>
  <cp:lastModifiedBy>Clémentine Robert-Vignes (CNAM / Paris)</cp:lastModifiedBy>
  <cp:revision>5</cp:revision>
  <cp:lastPrinted>2025-11-14T17:51:00Z</cp:lastPrinted>
  <dcterms:created xsi:type="dcterms:W3CDTF">2025-11-28T11:01:00Z</dcterms:created>
  <dcterms:modified xsi:type="dcterms:W3CDTF">2025-12-09T08:34:00Z</dcterms:modified>
</cp:coreProperties>
</file>